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6C9" w:rsidRDefault="000016C9" w:rsidP="007B1809">
      <w:pPr>
        <w:ind w:firstLine="709"/>
        <w:jc w:val="center"/>
        <w:rPr>
          <w:b/>
          <w:spacing w:val="72"/>
          <w:sz w:val="28"/>
          <w:szCs w:val="28"/>
        </w:rPr>
      </w:pPr>
      <w:r>
        <w:rPr>
          <w:b/>
          <w:noProof/>
          <w:spacing w:val="72"/>
          <w:sz w:val="28"/>
          <w:szCs w:val="28"/>
        </w:rPr>
        <w:object w:dxaOrig="1440" w:dyaOrig="1440">
          <v:group id="_x0000_s1027" style="position:absolute;left:0;text-align:left;margin-left:4.55pt;margin-top:27.4pt;width:534.05pt;height:103.35pt;z-index:251658240" coordorigin="1269,638" coordsize="9797,2340">
            <v:rect id="_x0000_s1028" style="position:absolute;left:2858;top:954;width:8208;height:1728;mso-wrap-edited:f" wrapcoords="-44 0 -44 21600 21644 21600 21644 0 -44 0" stroked="f">
              <v:textbox style="mso-next-textbox:#_x0000_s1028">
                <w:txbxContent>
                  <w:p w:rsidR="000016C9" w:rsidRPr="00D36206" w:rsidRDefault="000016C9" w:rsidP="000016C9">
                    <w:pPr>
                      <w:pStyle w:val="1"/>
                      <w:jc w:val="both"/>
                      <w:rPr>
                        <w:rFonts w:ascii="Times New Roman" w:hAnsi="Times New Roman"/>
                        <w:sz w:val="56"/>
                        <w:u w:val="double"/>
                      </w:rPr>
                    </w:pPr>
                    <w:r>
                      <w:rPr>
                        <w:sz w:val="56"/>
                      </w:rPr>
                      <w:t xml:space="preserve">  </w:t>
                    </w:r>
                    <w:r w:rsidRPr="00D36206">
                      <w:rPr>
                        <w:rFonts w:ascii="Times New Roman" w:hAnsi="Times New Roman"/>
                        <w:sz w:val="56"/>
                        <w:u w:val="double"/>
                      </w:rPr>
                      <w:t>О б щ и н а     К а й н а р д ж а</w:t>
                    </w:r>
                  </w:p>
                  <w:p w:rsidR="000016C9" w:rsidRPr="00D36206" w:rsidRDefault="000016C9" w:rsidP="000016C9">
                    <w:pPr>
                      <w:rPr>
                        <w:b/>
                      </w:rPr>
                    </w:pPr>
                    <w:r w:rsidRPr="00D36206">
                      <w:rPr>
                        <w:sz w:val="20"/>
                      </w:rPr>
                      <w:t xml:space="preserve">                      </w:t>
                    </w:r>
                    <w:r w:rsidRPr="00D36206">
                      <w:rPr>
                        <w:sz w:val="20"/>
                      </w:rPr>
                      <w:sym w:font="Wingdings" w:char="F02A"/>
                    </w:r>
                    <w:r w:rsidRPr="00D36206">
                      <w:rPr>
                        <w:sz w:val="20"/>
                      </w:rPr>
                      <w:t xml:space="preserve"> ул.</w:t>
                    </w:r>
                    <w:r w:rsidRPr="00D36206">
                      <w:rPr>
                        <w:sz w:val="20"/>
                        <w:lang w:val="en-US"/>
                      </w:rPr>
                      <w:t xml:space="preserve"> </w:t>
                    </w:r>
                    <w:r w:rsidRPr="00D36206">
                      <w:rPr>
                        <w:sz w:val="20"/>
                      </w:rPr>
                      <w:t xml:space="preserve">„Димитър Дончев” 2                     </w:t>
                    </w:r>
                    <w:r w:rsidRPr="00D36206">
                      <w:rPr>
                        <w:sz w:val="20"/>
                      </w:rPr>
                      <w:sym w:font="Wingdings" w:char="F028"/>
                    </w:r>
                    <w:r w:rsidRPr="00D36206">
                      <w:rPr>
                        <w:sz w:val="20"/>
                      </w:rPr>
                      <w:t xml:space="preserve"> 08</w:t>
                    </w:r>
                    <w:r w:rsidRPr="00D36206">
                      <w:rPr>
                        <w:sz w:val="20"/>
                        <w:lang w:val="en-US"/>
                      </w:rPr>
                      <w:t>679</w:t>
                    </w:r>
                    <w:r w:rsidRPr="00D36206">
                      <w:rPr>
                        <w:sz w:val="20"/>
                      </w:rPr>
                      <w:t>/ 8318, факс 08</w:t>
                    </w:r>
                    <w:r w:rsidRPr="00D36206">
                      <w:rPr>
                        <w:sz w:val="20"/>
                        <w:lang w:val="en-US"/>
                      </w:rPr>
                      <w:t>679</w:t>
                    </w:r>
                    <w:r w:rsidRPr="00D36206">
                      <w:rPr>
                        <w:sz w:val="20"/>
                      </w:rPr>
                      <w:t xml:space="preserve"> / 8461</w:t>
                    </w:r>
                  </w:p>
                  <w:p w:rsidR="000016C9" w:rsidRPr="00D36206" w:rsidRDefault="000016C9" w:rsidP="000016C9">
                    <w:pPr>
                      <w:rPr>
                        <w:b/>
                        <w:sz w:val="20"/>
                      </w:rPr>
                    </w:pPr>
                    <w:r w:rsidRPr="00D36206">
                      <w:rPr>
                        <w:b/>
                        <w:sz w:val="20"/>
                      </w:rPr>
                      <w:t xml:space="preserve">     7550 с. Ка</w:t>
                    </w:r>
                    <w:r>
                      <w:rPr>
                        <w:b/>
                        <w:sz w:val="20"/>
                      </w:rPr>
                      <w:t xml:space="preserve">йнарджа, обл. Силистра       </w:t>
                    </w:r>
                    <w:r w:rsidRPr="00D36206">
                      <w:rPr>
                        <w:b/>
                        <w:sz w:val="20"/>
                      </w:rPr>
                      <w:t xml:space="preserve">    </w:t>
                    </w:r>
                    <w:r w:rsidRPr="00566B64">
                      <w:rPr>
                        <w:b/>
                        <w:sz w:val="20"/>
                        <w:szCs w:val="20"/>
                      </w:rPr>
                      <w:t>Е-</w:t>
                    </w:r>
                    <w:r w:rsidRPr="00566B64">
                      <w:rPr>
                        <w:b/>
                        <w:sz w:val="20"/>
                        <w:szCs w:val="20"/>
                        <w:lang w:val="en-US"/>
                      </w:rPr>
                      <w:t>mail</w:t>
                    </w:r>
                    <w:r w:rsidRPr="00566B64">
                      <w:rPr>
                        <w:b/>
                        <w:sz w:val="20"/>
                        <w:szCs w:val="20"/>
                      </w:rPr>
                      <w:t>:</w:t>
                    </w:r>
                    <w:r w:rsidRPr="00566B64">
                      <w:rPr>
                        <w:rStyle w:val="10"/>
                        <w:sz w:val="20"/>
                        <w:shd w:val="clear" w:color="auto" w:fill="FFFFFF"/>
                      </w:rPr>
                      <w:t xml:space="preserve"> </w:t>
                    </w:r>
                    <w:r w:rsidRPr="00566B64">
                      <w:rPr>
                        <w:rStyle w:val="a6"/>
                        <w:rFonts w:ascii="Verdana" w:hAnsi="Verdana"/>
                        <w:sz w:val="20"/>
                        <w:szCs w:val="20"/>
                        <w:shd w:val="clear" w:color="auto" w:fill="FFFFFF"/>
                      </w:rPr>
                      <w:t>mun-kaynardzha@obmen.b</w:t>
                    </w:r>
                    <w:r w:rsidRPr="00566B64">
                      <w:rPr>
                        <w:rFonts w:ascii="Verdana" w:hAnsi="Verdana"/>
                        <w:b/>
                        <w:sz w:val="20"/>
                        <w:szCs w:val="20"/>
                        <w:shd w:val="clear" w:color="auto" w:fill="FFFFFF"/>
                      </w:rPr>
                      <w:t>g</w:t>
                    </w:r>
                    <w:r>
                      <w:rPr>
                        <w:rFonts w:ascii="Verdana" w:hAnsi="Verdana"/>
                        <w:sz w:val="19"/>
                        <w:szCs w:val="19"/>
                        <w:shd w:val="clear" w:color="auto" w:fill="FFFFFF"/>
                      </w:rPr>
                      <w:t>  </w:t>
                    </w:r>
                  </w:p>
                  <w:p w:rsidR="000016C9" w:rsidRDefault="000016C9" w:rsidP="000016C9"/>
                </w:txbxContent>
              </v:textbox>
            </v:rect>
            <v:shape id="_x0000_s1029" type="#_x0000_t75" style="position:absolute;left:1269;top:638;width:1624;height:2340">
              <v:imagedata r:id="rId7" o:title=""/>
            </v:shape>
            <w10:wrap type="topAndBottom"/>
          </v:group>
          <o:OLEObject Type="Embed" ProgID="Photoshop.Image.7" ShapeID="_x0000_s1029" DrawAspect="Content" ObjectID="_1772516770" r:id="rId8">
            <o:FieldCodes>\s</o:FieldCodes>
          </o:OLEObject>
        </w:object>
      </w:r>
    </w:p>
    <w:p w:rsidR="000016C9" w:rsidRDefault="000016C9" w:rsidP="007B1809">
      <w:pPr>
        <w:ind w:firstLine="709"/>
        <w:jc w:val="center"/>
        <w:rPr>
          <w:b/>
          <w:spacing w:val="72"/>
          <w:sz w:val="28"/>
          <w:szCs w:val="28"/>
        </w:rPr>
      </w:pPr>
    </w:p>
    <w:p w:rsidR="000016C9" w:rsidRDefault="009C273E" w:rsidP="009C273E">
      <w:pPr>
        <w:ind w:firstLine="709"/>
        <w:rPr>
          <w:b/>
          <w:spacing w:val="72"/>
          <w:sz w:val="28"/>
          <w:szCs w:val="28"/>
        </w:rPr>
      </w:pPr>
      <w:r>
        <w:rPr>
          <w:b/>
          <w:spacing w:val="72"/>
          <w:sz w:val="28"/>
          <w:szCs w:val="28"/>
        </w:rPr>
        <w:t>Утвърдил:</w:t>
      </w:r>
    </w:p>
    <w:p w:rsidR="009C273E" w:rsidRDefault="009C273E" w:rsidP="009C273E">
      <w:pPr>
        <w:ind w:firstLine="709"/>
        <w:rPr>
          <w:b/>
          <w:spacing w:val="72"/>
          <w:sz w:val="28"/>
          <w:szCs w:val="28"/>
        </w:rPr>
      </w:pPr>
      <w:r>
        <w:rPr>
          <w:b/>
          <w:spacing w:val="72"/>
          <w:sz w:val="28"/>
          <w:szCs w:val="28"/>
        </w:rPr>
        <w:t>ЛЮБЕН СИВЕВ</w:t>
      </w:r>
    </w:p>
    <w:p w:rsidR="009C273E" w:rsidRDefault="009C273E" w:rsidP="009C273E">
      <w:pPr>
        <w:ind w:firstLine="709"/>
        <w:rPr>
          <w:b/>
          <w:spacing w:val="72"/>
          <w:sz w:val="28"/>
          <w:szCs w:val="28"/>
        </w:rPr>
      </w:pPr>
      <w:r>
        <w:rPr>
          <w:b/>
          <w:spacing w:val="72"/>
          <w:sz w:val="28"/>
          <w:szCs w:val="28"/>
        </w:rPr>
        <w:t>Кмет на община Кайнарджа</w:t>
      </w:r>
    </w:p>
    <w:p w:rsidR="009C273E" w:rsidRPr="009C273E" w:rsidRDefault="009C273E" w:rsidP="009C273E">
      <w:pPr>
        <w:ind w:firstLine="709"/>
        <w:rPr>
          <w:spacing w:val="72"/>
          <w:sz w:val="28"/>
          <w:szCs w:val="28"/>
        </w:rPr>
      </w:pPr>
      <w:r w:rsidRPr="009C273E">
        <w:rPr>
          <w:spacing w:val="72"/>
          <w:sz w:val="28"/>
          <w:szCs w:val="28"/>
        </w:rPr>
        <w:t>/Заповед №РД-09-159/19.03.2024г./</w:t>
      </w:r>
    </w:p>
    <w:p w:rsidR="000016C9" w:rsidRDefault="000016C9" w:rsidP="000016C9">
      <w:pPr>
        <w:rPr>
          <w:b/>
          <w:spacing w:val="72"/>
          <w:sz w:val="28"/>
          <w:szCs w:val="28"/>
        </w:rPr>
      </w:pPr>
    </w:p>
    <w:p w:rsidR="000016C9" w:rsidRDefault="000016C9" w:rsidP="007B1809">
      <w:pPr>
        <w:ind w:firstLine="709"/>
        <w:jc w:val="center"/>
        <w:rPr>
          <w:b/>
          <w:spacing w:val="72"/>
          <w:sz w:val="28"/>
          <w:szCs w:val="28"/>
        </w:rPr>
      </w:pPr>
    </w:p>
    <w:p w:rsidR="007B1809" w:rsidRPr="004757D2" w:rsidRDefault="007B1809" w:rsidP="007B1809">
      <w:pPr>
        <w:ind w:firstLine="709"/>
        <w:jc w:val="center"/>
        <w:rPr>
          <w:b/>
          <w:spacing w:val="72"/>
          <w:sz w:val="28"/>
          <w:szCs w:val="28"/>
        </w:rPr>
      </w:pPr>
      <w:r w:rsidRPr="004757D2">
        <w:rPr>
          <w:b/>
          <w:spacing w:val="72"/>
          <w:sz w:val="28"/>
          <w:szCs w:val="28"/>
        </w:rPr>
        <w:t>ГОДИШЕН  ДОКЛАД</w:t>
      </w:r>
    </w:p>
    <w:p w:rsidR="007B1809" w:rsidRPr="00783FFF" w:rsidRDefault="007B1809" w:rsidP="007B1809">
      <w:pPr>
        <w:ind w:firstLine="709"/>
        <w:jc w:val="center"/>
        <w:rPr>
          <w:b/>
          <w:spacing w:val="72"/>
          <w:sz w:val="28"/>
          <w:szCs w:val="28"/>
          <w:u w:val="double"/>
          <w:lang w:val="ru-RU"/>
        </w:rPr>
      </w:pPr>
    </w:p>
    <w:p w:rsidR="007B1809" w:rsidRPr="0021327A" w:rsidRDefault="00120661" w:rsidP="007B1809">
      <w:pPr>
        <w:ind w:firstLine="709"/>
        <w:jc w:val="center"/>
        <w:rPr>
          <w:b/>
          <w:sz w:val="28"/>
          <w:szCs w:val="28"/>
        </w:rPr>
      </w:pPr>
      <w:r>
        <w:rPr>
          <w:b/>
          <w:sz w:val="28"/>
          <w:szCs w:val="28"/>
        </w:rPr>
        <w:t>ЗА 2023</w:t>
      </w:r>
      <w:r w:rsidR="007B1809" w:rsidRPr="0021327A">
        <w:rPr>
          <w:b/>
          <w:sz w:val="28"/>
          <w:szCs w:val="28"/>
        </w:rPr>
        <w:t xml:space="preserve"> ГОДИНА ЗА НАБЛЮДЕНИЕТО НА ИЗПЪЛНЕНИЕТО НА ПЛАНА ЗА ИНТЕГРИРАНО РАЗВИТИЕ НА ОБЩИНА КАЙНАРДЖА ЗА ПЕРИОДА 2021-2027 </w:t>
      </w:r>
      <w:r w:rsidR="007B1809">
        <w:rPr>
          <w:b/>
          <w:sz w:val="28"/>
          <w:szCs w:val="28"/>
        </w:rPr>
        <w:t>г</w:t>
      </w:r>
      <w:r w:rsidR="007B1809" w:rsidRPr="0021327A">
        <w:rPr>
          <w:b/>
          <w:sz w:val="28"/>
          <w:szCs w:val="28"/>
        </w:rPr>
        <w:t>.</w:t>
      </w:r>
    </w:p>
    <w:p w:rsidR="007B1809" w:rsidRDefault="007B1809" w:rsidP="007B1809">
      <w:pPr>
        <w:ind w:firstLine="709"/>
        <w:jc w:val="center"/>
        <w:rPr>
          <w:b/>
          <w:sz w:val="28"/>
          <w:szCs w:val="28"/>
        </w:rPr>
      </w:pPr>
    </w:p>
    <w:p w:rsidR="007B1809" w:rsidRPr="009D3783" w:rsidRDefault="007B1809" w:rsidP="007B1809">
      <w:pPr>
        <w:ind w:firstLine="709"/>
        <w:jc w:val="both"/>
        <w:rPr>
          <w:b/>
        </w:rPr>
      </w:pPr>
      <w:r w:rsidRPr="004757D2">
        <w:rPr>
          <w:b/>
        </w:rPr>
        <w:t xml:space="preserve">I. </w:t>
      </w:r>
      <w:r>
        <w:rPr>
          <w:b/>
        </w:rPr>
        <w:t>О</w:t>
      </w:r>
      <w:r w:rsidRPr="009D3783">
        <w:rPr>
          <w:b/>
        </w:rPr>
        <w:t>бщите условия за изпълнение на плана за интегрирано развитие на общината и в частност промените в социално-икономическите условия в общината</w:t>
      </w:r>
    </w:p>
    <w:p w:rsidR="007B1809" w:rsidRPr="009C27CE" w:rsidRDefault="007B1809" w:rsidP="007B1C2A">
      <w:pPr>
        <w:pStyle w:val="Default"/>
        <w:ind w:firstLine="709"/>
        <w:jc w:val="both"/>
        <w:rPr>
          <w:rFonts w:ascii="Times New Roman" w:hAnsi="Times New Roman" w:cs="Times New Roman"/>
          <w:color w:val="auto"/>
        </w:rPr>
      </w:pPr>
      <w:r w:rsidRPr="009C27CE">
        <w:rPr>
          <w:rFonts w:ascii="Times New Roman" w:hAnsi="Times New Roman" w:cs="Times New Roman"/>
          <w:color w:val="auto"/>
        </w:rPr>
        <w:t>ПИРО е изготвен във връзка с разпоредбите на чл. 8 и чл.13 на Закона за регионалното развитие /ЗРР (последни изменения 13.03.2020)/, както и на Глава първа, Раздел трети и Глава четвърта на Правилника за прилагане на Закона з</w:t>
      </w:r>
      <w:r w:rsidR="007B1C2A">
        <w:rPr>
          <w:rFonts w:ascii="Times New Roman" w:hAnsi="Times New Roman" w:cs="Times New Roman"/>
          <w:color w:val="auto"/>
        </w:rPr>
        <w:t xml:space="preserve">а регионално развитие /ППЗРР/. </w:t>
      </w:r>
      <w:r w:rsidRPr="009C27CE">
        <w:rPr>
          <w:rFonts w:ascii="Times New Roman" w:hAnsi="Times New Roman" w:cs="Times New Roman"/>
          <w:color w:val="auto"/>
        </w:rPr>
        <w:t xml:space="preserve"> Планът отчита и предвижданията на Общия устройствен план на община Кайнарджа до 2035 г., приет през 2018 г. Стратегическата част на ПИРО е съобразена с предвижданията на съответните документи от по-висок порядък от системата за стратегическо планиране на регионалното развитие: </w:t>
      </w:r>
    </w:p>
    <w:p w:rsidR="007B1809" w:rsidRPr="009C27CE" w:rsidRDefault="007B1809" w:rsidP="007B1809">
      <w:pPr>
        <w:pStyle w:val="Default"/>
        <w:numPr>
          <w:ilvl w:val="0"/>
          <w:numId w:val="1"/>
        </w:numPr>
        <w:ind w:left="0" w:firstLine="709"/>
        <w:jc w:val="both"/>
        <w:rPr>
          <w:rFonts w:ascii="Times New Roman" w:hAnsi="Times New Roman" w:cs="Times New Roman"/>
          <w:color w:val="auto"/>
        </w:rPr>
      </w:pPr>
      <w:r w:rsidRPr="009C27CE">
        <w:rPr>
          <w:rFonts w:ascii="Times New Roman" w:hAnsi="Times New Roman" w:cs="Times New Roman"/>
          <w:color w:val="auto"/>
        </w:rPr>
        <w:t xml:space="preserve"> Интегрирана териториална стратегия за развитие (ИТСР) на Северен централен регион за планиране от ниво 2; </w:t>
      </w:r>
    </w:p>
    <w:p w:rsidR="007B1809" w:rsidRPr="009C27CE" w:rsidRDefault="007B1809" w:rsidP="007B1809">
      <w:pPr>
        <w:pStyle w:val="Default"/>
        <w:numPr>
          <w:ilvl w:val="0"/>
          <w:numId w:val="1"/>
        </w:numPr>
        <w:ind w:left="0" w:firstLine="709"/>
        <w:jc w:val="both"/>
        <w:rPr>
          <w:rFonts w:ascii="Times New Roman" w:hAnsi="Times New Roman" w:cs="Times New Roman"/>
          <w:color w:val="auto"/>
        </w:rPr>
      </w:pPr>
      <w:r w:rsidRPr="009C27CE">
        <w:rPr>
          <w:rFonts w:ascii="Times New Roman" w:hAnsi="Times New Roman" w:cs="Times New Roman"/>
          <w:color w:val="auto"/>
        </w:rPr>
        <w:t xml:space="preserve">Актуализацията на Национална концепция за пространствено развитие за периода 2013–2025 г. </w:t>
      </w:r>
    </w:p>
    <w:p w:rsidR="007B1809" w:rsidRPr="009C27CE" w:rsidRDefault="007B1809" w:rsidP="007B1809">
      <w:pPr>
        <w:pStyle w:val="Default"/>
        <w:ind w:firstLine="709"/>
        <w:jc w:val="both"/>
        <w:rPr>
          <w:rFonts w:ascii="Times New Roman" w:hAnsi="Times New Roman" w:cs="Times New Roman"/>
          <w:color w:val="auto"/>
        </w:rPr>
      </w:pPr>
      <w:r w:rsidRPr="009C27CE">
        <w:rPr>
          <w:rFonts w:ascii="Times New Roman" w:hAnsi="Times New Roman" w:cs="Times New Roman"/>
          <w:color w:val="auto"/>
        </w:rPr>
        <w:t xml:space="preserve">Планът отчита и целите и приоритетите на Националната програма за развитие „България 2030”. </w:t>
      </w:r>
    </w:p>
    <w:p w:rsidR="007B1809" w:rsidRDefault="007B1809" w:rsidP="007B1809">
      <w:pPr>
        <w:pStyle w:val="Default"/>
        <w:ind w:firstLine="709"/>
        <w:jc w:val="both"/>
        <w:rPr>
          <w:rFonts w:ascii="Times New Roman" w:hAnsi="Times New Roman" w:cs="Times New Roman"/>
          <w:color w:val="auto"/>
        </w:rPr>
      </w:pPr>
      <w:r w:rsidRPr="00C51FE5">
        <w:rPr>
          <w:rFonts w:ascii="Times New Roman" w:hAnsi="Times New Roman" w:cs="Times New Roman"/>
          <w:color w:val="auto"/>
        </w:rPr>
        <w:t>Кметът на общината организира наблюдението на изпълнението на плана за и</w:t>
      </w:r>
      <w:r w:rsidR="00A665ED">
        <w:rPr>
          <w:rFonts w:ascii="Times New Roman" w:hAnsi="Times New Roman" w:cs="Times New Roman"/>
          <w:color w:val="auto"/>
        </w:rPr>
        <w:t xml:space="preserve">нтегрирано развитие на общината за резултатите от което  </w:t>
      </w:r>
      <w:r w:rsidRPr="00C51FE5">
        <w:rPr>
          <w:rFonts w:ascii="Times New Roman" w:hAnsi="Times New Roman" w:cs="Times New Roman"/>
          <w:color w:val="auto"/>
        </w:rPr>
        <w:t>се разрабо</w:t>
      </w:r>
      <w:r w:rsidR="00A665ED">
        <w:rPr>
          <w:rFonts w:ascii="Times New Roman" w:hAnsi="Times New Roman" w:cs="Times New Roman"/>
          <w:color w:val="auto"/>
        </w:rPr>
        <w:t xml:space="preserve">тва годишен доклад </w:t>
      </w:r>
      <w:r w:rsidR="00B70C93">
        <w:rPr>
          <w:rFonts w:ascii="Times New Roman" w:hAnsi="Times New Roman" w:cs="Times New Roman"/>
          <w:color w:val="auto"/>
        </w:rPr>
        <w:t xml:space="preserve"> съгласуван с </w:t>
      </w:r>
      <w:r w:rsidRPr="00C51FE5">
        <w:rPr>
          <w:rFonts w:ascii="Times New Roman" w:hAnsi="Times New Roman" w:cs="Times New Roman"/>
          <w:color w:val="auto"/>
        </w:rPr>
        <w:t xml:space="preserve"> чл.72, ал (8) от Правилника за прилагане на закона за регионалното развитие</w:t>
      </w:r>
      <w:r w:rsidR="00B70C93">
        <w:rPr>
          <w:rFonts w:ascii="Times New Roman" w:hAnsi="Times New Roman" w:cs="Times New Roman"/>
          <w:color w:val="auto"/>
        </w:rPr>
        <w:t xml:space="preserve">. </w:t>
      </w:r>
    </w:p>
    <w:p w:rsidR="00B70C93" w:rsidRDefault="00B70C93" w:rsidP="007B1809">
      <w:pPr>
        <w:pStyle w:val="Default"/>
        <w:ind w:firstLine="709"/>
        <w:jc w:val="both"/>
        <w:rPr>
          <w:rFonts w:ascii="Times New Roman" w:hAnsi="Times New Roman" w:cs="Times New Roman"/>
          <w:color w:val="auto"/>
        </w:rPr>
      </w:pPr>
    </w:p>
    <w:p w:rsidR="00B70C93" w:rsidRPr="00B70C93" w:rsidRDefault="00B70C93" w:rsidP="00B70C93">
      <w:pPr>
        <w:autoSpaceDE w:val="0"/>
        <w:autoSpaceDN w:val="0"/>
        <w:adjustRightInd w:val="0"/>
        <w:ind w:firstLine="709"/>
        <w:jc w:val="both"/>
        <w:rPr>
          <w:rFonts w:eastAsia="Calibri"/>
          <w:b/>
          <w:lang w:eastAsia="en-US"/>
        </w:rPr>
      </w:pPr>
      <w:r w:rsidRPr="00B70C93">
        <w:rPr>
          <w:rFonts w:eastAsia="Calibri"/>
          <w:b/>
          <w:lang w:eastAsia="en-US"/>
        </w:rPr>
        <w:t>II. Постигнатия напредък по изпълнението на целите и приоритетите на плана за интегрирано развитие на общината въз основа на индикаторите за наблюдение</w:t>
      </w:r>
    </w:p>
    <w:p w:rsidR="00B70C93" w:rsidRPr="00B70C93" w:rsidRDefault="00B70C93" w:rsidP="00B70C93">
      <w:pPr>
        <w:autoSpaceDE w:val="0"/>
        <w:autoSpaceDN w:val="0"/>
        <w:adjustRightInd w:val="0"/>
        <w:ind w:firstLine="709"/>
        <w:jc w:val="both"/>
        <w:rPr>
          <w:rFonts w:eastAsia="Calibri"/>
          <w:b/>
          <w:lang w:eastAsia="en-US"/>
        </w:rPr>
      </w:pPr>
      <w:r w:rsidRPr="00B70C93">
        <w:rPr>
          <w:rFonts w:eastAsia="Calibri"/>
          <w:b/>
          <w:lang w:eastAsia="en-US"/>
        </w:rPr>
        <w:lastRenderedPageBreak/>
        <w:t>2.1. Население на община Кайнарджа</w:t>
      </w:r>
    </w:p>
    <w:p w:rsidR="00B70C93" w:rsidRPr="00B70C93" w:rsidRDefault="00B70C93" w:rsidP="00B70C93">
      <w:pPr>
        <w:autoSpaceDE w:val="0"/>
        <w:autoSpaceDN w:val="0"/>
        <w:adjustRightInd w:val="0"/>
        <w:ind w:firstLine="709"/>
        <w:jc w:val="both"/>
        <w:rPr>
          <w:rFonts w:eastAsia="Calibri"/>
          <w:b/>
          <w:lang w:eastAsia="en-US"/>
        </w:rPr>
      </w:pPr>
      <w:r w:rsidRPr="00B70C93">
        <w:rPr>
          <w:rFonts w:eastAsia="Calibri"/>
          <w:b/>
          <w:lang w:eastAsia="en-US"/>
        </w:rPr>
        <w:t xml:space="preserve"> 2.1.1. Брой на населението.</w:t>
      </w:r>
    </w:p>
    <w:p w:rsidR="00B70C93" w:rsidRDefault="00B70C93" w:rsidP="00D21D0D">
      <w:pPr>
        <w:widowControl w:val="0"/>
        <w:autoSpaceDE w:val="0"/>
        <w:autoSpaceDN w:val="0"/>
        <w:ind w:firstLine="708"/>
        <w:jc w:val="both"/>
        <w:rPr>
          <w:rFonts w:eastAsia="Calibri"/>
          <w:lang w:eastAsia="en-US"/>
        </w:rPr>
      </w:pPr>
      <w:r w:rsidRPr="00B70C93">
        <w:rPr>
          <w:rFonts w:eastAsia="Calibri"/>
          <w:lang w:eastAsia="en-US"/>
        </w:rPr>
        <w:t>Демографският срив, характерен за страната като цяло не отминава и община Кайнарджа. През 1977 г. населението е наброявало 7 700 жители. През 1987г. то е било 6 600 души. Най-малко жители с постоянен адрес, община Кайнарджа има през 20</w:t>
      </w:r>
      <w:r w:rsidR="008D01C9">
        <w:rPr>
          <w:rFonts w:eastAsia="Calibri"/>
          <w:lang w:eastAsia="en-US"/>
        </w:rPr>
        <w:t xml:space="preserve">11 година – 5 815 човека. През </w:t>
      </w:r>
      <w:r w:rsidRPr="00B70C93">
        <w:rPr>
          <w:rFonts w:eastAsia="Calibri"/>
          <w:lang w:eastAsia="en-US"/>
        </w:rPr>
        <w:t xml:space="preserve"> декември 2013 година, населението става </w:t>
      </w:r>
      <w:r w:rsidR="00C92EC9">
        <w:rPr>
          <w:rFonts w:eastAsia="Calibri"/>
          <w:lang w:eastAsia="en-US"/>
        </w:rPr>
        <w:t>5 869 души общо за общината, а в</w:t>
      </w:r>
      <w:r w:rsidRPr="00B70C93">
        <w:rPr>
          <w:rFonts w:eastAsia="Calibri"/>
          <w:lang w:eastAsia="en-US"/>
        </w:rPr>
        <w:t xml:space="preserve"> по</w:t>
      </w:r>
      <w:r w:rsidR="00C92EC9">
        <w:rPr>
          <w:rFonts w:eastAsia="Calibri"/>
          <w:lang w:eastAsia="en-US"/>
        </w:rPr>
        <w:t>сочената по -</w:t>
      </w:r>
      <w:r w:rsidRPr="00B70C93">
        <w:rPr>
          <w:rFonts w:eastAsia="Calibri"/>
          <w:lang w:eastAsia="en-US"/>
        </w:rPr>
        <w:t xml:space="preserve"> долу </w:t>
      </w:r>
      <w:r w:rsidR="00C92EC9">
        <w:rPr>
          <w:rFonts w:eastAsia="Calibri"/>
          <w:lang w:eastAsia="en-US"/>
        </w:rPr>
        <w:t xml:space="preserve">таблица </w:t>
      </w:r>
      <w:r w:rsidRPr="00B70C93">
        <w:rPr>
          <w:rFonts w:eastAsia="Calibri"/>
          <w:lang w:eastAsia="en-US"/>
        </w:rPr>
        <w:t>е представен броят на населени</w:t>
      </w:r>
      <w:r w:rsidR="00C92EC9">
        <w:rPr>
          <w:rFonts w:eastAsia="Calibri"/>
          <w:lang w:eastAsia="en-US"/>
        </w:rPr>
        <w:t xml:space="preserve">ето в община Кайнарджа към </w:t>
      </w:r>
      <w:r w:rsidR="000862EF">
        <w:rPr>
          <w:rFonts w:eastAsia="Calibri"/>
          <w:lang w:eastAsia="en-US"/>
        </w:rPr>
        <w:t>1</w:t>
      </w:r>
      <w:r w:rsidR="00C92EC9">
        <w:rPr>
          <w:rFonts w:eastAsia="Calibri"/>
          <w:lang w:eastAsia="en-US"/>
        </w:rPr>
        <w:t>5</w:t>
      </w:r>
      <w:r w:rsidR="000862EF">
        <w:rPr>
          <w:rFonts w:eastAsia="Calibri"/>
          <w:lang w:eastAsia="en-US"/>
        </w:rPr>
        <w:t>.12.2023</w:t>
      </w:r>
      <w:r w:rsidR="00C92EC9">
        <w:rPr>
          <w:rFonts w:eastAsia="Calibri"/>
          <w:lang w:eastAsia="en-US"/>
        </w:rPr>
        <w:t>, което с постоянен адрес вече надминава 6000 човека.</w:t>
      </w:r>
      <w:r w:rsidR="000862EF">
        <w:rPr>
          <w:rFonts w:eastAsia="Calibri"/>
          <w:lang w:eastAsia="en-US"/>
        </w:rPr>
        <w:t xml:space="preserve"> </w:t>
      </w:r>
    </w:p>
    <w:p w:rsidR="000016C9" w:rsidRDefault="000016C9" w:rsidP="00D21D0D">
      <w:pPr>
        <w:widowControl w:val="0"/>
        <w:autoSpaceDE w:val="0"/>
        <w:autoSpaceDN w:val="0"/>
        <w:ind w:firstLine="708"/>
        <w:jc w:val="both"/>
        <w:rPr>
          <w:rFonts w:eastAsia="Calibri"/>
          <w:lang w:eastAsia="en-US"/>
        </w:rPr>
      </w:pPr>
    </w:p>
    <w:p w:rsidR="000016C9" w:rsidRDefault="000016C9" w:rsidP="00D21D0D">
      <w:pPr>
        <w:widowControl w:val="0"/>
        <w:autoSpaceDE w:val="0"/>
        <w:autoSpaceDN w:val="0"/>
        <w:ind w:firstLine="708"/>
        <w:jc w:val="both"/>
        <w:rPr>
          <w:rFonts w:eastAsia="Calibri"/>
          <w:lang w:eastAsia="en-US"/>
        </w:rPr>
      </w:pPr>
    </w:p>
    <w:p w:rsidR="000016C9" w:rsidRPr="00D21D0D" w:rsidRDefault="000016C9" w:rsidP="00D21D0D">
      <w:pPr>
        <w:widowControl w:val="0"/>
        <w:autoSpaceDE w:val="0"/>
        <w:autoSpaceDN w:val="0"/>
        <w:ind w:firstLine="708"/>
        <w:jc w:val="both"/>
        <w:rPr>
          <w:rFonts w:eastAsia="Calibri"/>
          <w:lang w:val="en-US" w:eastAsia="en-US"/>
        </w:rPr>
      </w:pP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Таблица на адресно регистрираните по постоянен и по настоящ адрес лица</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 xml:space="preserve">              област СИЛИСТРА община КАЙНАРДЖА</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 xml:space="preserve">|        </w:t>
      </w:r>
      <w:r w:rsidR="000862EF">
        <w:rPr>
          <w:rFonts w:ascii="Courier New" w:hAnsi="Courier New" w:cs="Courier New"/>
          <w:color w:val="000000"/>
          <w:sz w:val="20"/>
          <w:szCs w:val="20"/>
          <w:lang w:val="en-US" w:eastAsia="en-US"/>
        </w:rPr>
        <w:t xml:space="preserve">                 | Постоянен | </w:t>
      </w:r>
      <w:r w:rsidRPr="00B70C93">
        <w:rPr>
          <w:rFonts w:ascii="Courier New" w:hAnsi="Courier New" w:cs="Courier New"/>
          <w:color w:val="000000"/>
          <w:sz w:val="20"/>
          <w:szCs w:val="20"/>
          <w:lang w:val="en-US" w:eastAsia="en-US"/>
        </w:rPr>
        <w:t>Настоящ  |Постоянен и|</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     Населено място      |   адрес   |   адрес   |наст.адрес |</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                         |    общо   |    общо   |в същото НМ|</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|С.ВОЙНОВО                |         73|         94|         57|</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|С.ГОЛЕШ                  |       1746|       1736|       1653|</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|С.ГОСПОДИНОВО            |         10|         11|          7|</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|С.ДАВИДОВО               |        219|        208|        201|</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|С.ДОБРУДЖАНКА            |        168|        144|        104|</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|С.ЗАРНИК                 |        644|        538|        521|</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|С.КАЙНАРДЖА              |        587|        557|        473|</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|С.КАМЕНЦИ                |          7|         21|          6|</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|С.КРАНОВО                |         60|         78|         43|</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|С.ПОЛКОВНИК ЧОЛАКОВО     |        280|        231|        220|</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|С.ПОПРУСАНОВО            |         17|         29|         16|</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|С.ПОСЕВ                  |        433|        157|        145|</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|С.СВЕТОСЛАВ              |         76|         91|         64|</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|С.СРЕДИЩЕ                |       1695|       1372|       1299|</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|С.СТРЕЛКОВО              |         12|         11|          6|</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|Всичко за общината       |       6027|       5278|       4815|</w:t>
      </w:r>
    </w:p>
    <w:p w:rsidR="00B70C93" w:rsidRPr="00B70C93" w:rsidRDefault="00B70C93" w:rsidP="00B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eastAsia="en-US"/>
        </w:rPr>
      </w:pPr>
      <w:r w:rsidRPr="00B70C93">
        <w:rPr>
          <w:rFonts w:ascii="Courier New" w:hAnsi="Courier New" w:cs="Courier New"/>
          <w:color w:val="000000"/>
          <w:sz w:val="20"/>
          <w:szCs w:val="20"/>
          <w:lang w:val="en-US" w:eastAsia="en-US"/>
        </w:rPr>
        <w:t xml:space="preserve">                                               дата 15.12.2023</w:t>
      </w:r>
    </w:p>
    <w:p w:rsidR="00B70C93" w:rsidRPr="00B70C93" w:rsidRDefault="00B70C93" w:rsidP="00B70C93">
      <w:pPr>
        <w:spacing w:after="160" w:line="259" w:lineRule="auto"/>
        <w:rPr>
          <w:rFonts w:asciiTheme="minorHAnsi" w:eastAsiaTheme="minorHAnsi" w:hAnsiTheme="minorHAnsi" w:cstheme="minorBidi"/>
          <w:sz w:val="22"/>
          <w:szCs w:val="22"/>
          <w:lang w:val="en-US" w:eastAsia="en-US"/>
        </w:rPr>
      </w:pPr>
    </w:p>
    <w:p w:rsidR="00E45EB9" w:rsidRPr="00E45EB9" w:rsidRDefault="00E45EB9" w:rsidP="00E45EB9">
      <w:pPr>
        <w:widowControl w:val="0"/>
        <w:autoSpaceDE w:val="0"/>
        <w:autoSpaceDN w:val="0"/>
        <w:ind w:firstLine="708"/>
        <w:jc w:val="both"/>
        <w:rPr>
          <w:rFonts w:eastAsia="Calibri"/>
          <w:lang w:eastAsia="en-US"/>
        </w:rPr>
      </w:pPr>
      <w:r w:rsidRPr="00E45EB9">
        <w:rPr>
          <w:rFonts w:eastAsia="Calibri"/>
          <w:lang w:eastAsia="en-US"/>
        </w:rPr>
        <w:t>Вземайки предвид общия брой на населението, общината попада в групата на много малките общини (до 10 хил. д.). Средната гъстота на населението на община Кайнарджа е 16,00 ч./кв. км.</w:t>
      </w:r>
    </w:p>
    <w:p w:rsidR="00B70C93" w:rsidRDefault="009B2B4D" w:rsidP="00E45EB9">
      <w:pPr>
        <w:widowControl w:val="0"/>
        <w:autoSpaceDE w:val="0"/>
        <w:autoSpaceDN w:val="0"/>
        <w:ind w:firstLine="708"/>
        <w:jc w:val="both"/>
        <w:rPr>
          <w:rFonts w:eastAsia="Calibri"/>
          <w:lang w:eastAsia="en-US"/>
        </w:rPr>
      </w:pPr>
      <w:r>
        <w:rPr>
          <w:rFonts w:eastAsia="Calibri"/>
          <w:lang w:eastAsia="en-US"/>
        </w:rPr>
        <w:t xml:space="preserve"> П</w:t>
      </w:r>
      <w:r w:rsidR="00E45EB9" w:rsidRPr="00E45EB9">
        <w:rPr>
          <w:rFonts w:eastAsia="Calibri"/>
          <w:lang w:eastAsia="en-US"/>
        </w:rPr>
        <w:t xml:space="preserve">рез </w:t>
      </w:r>
      <w:r>
        <w:rPr>
          <w:rFonts w:eastAsia="Calibri"/>
          <w:lang w:eastAsia="en-US"/>
        </w:rPr>
        <w:t xml:space="preserve">някои от </w:t>
      </w:r>
      <w:r w:rsidR="00E45EB9" w:rsidRPr="00E45EB9">
        <w:rPr>
          <w:rFonts w:eastAsia="Calibri"/>
          <w:lang w:eastAsia="en-US"/>
        </w:rPr>
        <w:t xml:space="preserve">последните няколко години, естественият прираст в община Кайнарджа </w:t>
      </w:r>
      <w:r>
        <w:rPr>
          <w:rFonts w:eastAsia="Calibri"/>
          <w:lang w:eastAsia="en-US"/>
        </w:rPr>
        <w:t xml:space="preserve">беше </w:t>
      </w:r>
      <w:r w:rsidR="00E45EB9" w:rsidRPr="00E45EB9">
        <w:rPr>
          <w:rFonts w:eastAsia="Calibri"/>
          <w:lang w:eastAsia="en-US"/>
        </w:rPr>
        <w:t xml:space="preserve"> положителен, </w:t>
      </w:r>
      <w:r>
        <w:rPr>
          <w:rFonts w:eastAsia="Calibri"/>
          <w:lang w:eastAsia="en-US"/>
        </w:rPr>
        <w:t>но в 2022 и 2023 година отново попаднахме в общата група на общините с отрицателен прираст. М</w:t>
      </w:r>
      <w:r w:rsidR="00E45EB9" w:rsidRPr="00E45EB9">
        <w:rPr>
          <w:rFonts w:eastAsia="Calibri"/>
          <w:lang w:eastAsia="en-US"/>
        </w:rPr>
        <w:t xml:space="preserve">еханичният прираст на населението в община Кайнарджа </w:t>
      </w:r>
      <w:r>
        <w:rPr>
          <w:rFonts w:eastAsia="Calibri"/>
          <w:lang w:eastAsia="en-US"/>
        </w:rPr>
        <w:t>също е отрицателен и</w:t>
      </w:r>
      <w:r w:rsidR="00E45EB9" w:rsidRPr="00E45EB9">
        <w:rPr>
          <w:rFonts w:eastAsia="Calibri"/>
          <w:lang w:eastAsia="en-US"/>
        </w:rPr>
        <w:t xml:space="preserve"> през предходната година </w:t>
      </w:r>
      <w:r>
        <w:rPr>
          <w:rFonts w:eastAsia="Calibri"/>
          <w:lang w:eastAsia="en-US"/>
        </w:rPr>
        <w:t xml:space="preserve">се увеличава </w:t>
      </w:r>
      <w:r w:rsidR="00E45EB9" w:rsidRPr="00E45EB9">
        <w:rPr>
          <w:rFonts w:eastAsia="Calibri"/>
          <w:lang w:eastAsia="en-US"/>
        </w:rPr>
        <w:t>броят на изселените, поради това, младите хора продължават да търсят работа и заетост извън пределите на общината и дори извън Бъл</w:t>
      </w:r>
      <w:r w:rsidR="008F1CE7">
        <w:rPr>
          <w:rFonts w:eastAsia="Calibri"/>
          <w:lang w:eastAsia="en-US"/>
        </w:rPr>
        <w:t>гария. За съжаление много често изселването е трайно, като заминават цели семейства с децата си.</w:t>
      </w:r>
    </w:p>
    <w:p w:rsidR="00E45EB9" w:rsidRPr="00B70C93" w:rsidRDefault="00E45EB9" w:rsidP="00E45EB9">
      <w:pPr>
        <w:widowControl w:val="0"/>
        <w:autoSpaceDE w:val="0"/>
        <w:autoSpaceDN w:val="0"/>
        <w:ind w:firstLine="708"/>
        <w:jc w:val="both"/>
        <w:rPr>
          <w:rFonts w:eastAsia="Calibri"/>
          <w:lang w:eastAsia="en-US"/>
        </w:rPr>
      </w:pPr>
    </w:p>
    <w:p w:rsidR="00E45EB9" w:rsidRPr="00E45EB9" w:rsidRDefault="00E45EB9" w:rsidP="00E45EB9">
      <w:pPr>
        <w:ind w:firstLine="567"/>
        <w:jc w:val="both"/>
        <w:rPr>
          <w:b/>
        </w:rPr>
      </w:pPr>
      <w:r w:rsidRPr="00E45EB9">
        <w:rPr>
          <w:b/>
        </w:rPr>
        <w:t>2.1.2. Структура на населението на община Кайнарджа</w:t>
      </w:r>
    </w:p>
    <w:p w:rsidR="00E45EB9" w:rsidRPr="00E45EB9" w:rsidRDefault="00E45EB9" w:rsidP="00E45EB9">
      <w:pPr>
        <w:ind w:firstLine="567"/>
        <w:jc w:val="both"/>
      </w:pPr>
      <w:r w:rsidRPr="00E45EB9">
        <w:lastRenderedPageBreak/>
        <w:t>През разглеждания период относително постоянно се запазва съотношението</w:t>
      </w:r>
      <w:r w:rsidR="002D6B69">
        <w:t xml:space="preserve"> мъже/жени сред</w:t>
      </w:r>
      <w:r w:rsidRPr="00E45EB9">
        <w:t xml:space="preserve"> населението на общината. </w:t>
      </w:r>
    </w:p>
    <w:p w:rsidR="00E45EB9" w:rsidRPr="00E45EB9" w:rsidRDefault="00E45EB9" w:rsidP="00E45EB9">
      <w:pPr>
        <w:ind w:firstLine="709"/>
        <w:jc w:val="both"/>
      </w:pPr>
      <w:r w:rsidRPr="00E45EB9">
        <w:t>Съгласно Интегрираната териториална схема за развитие на Северен централен регион за периода 2021-2027 г. на територията на област Силистра и в частност на територията на община Кайнарджа няма населено място, което попада в територии в риск от обезлюдяване.</w:t>
      </w:r>
    </w:p>
    <w:p w:rsidR="00E45EB9" w:rsidRDefault="00E45EB9" w:rsidP="00E45EB9">
      <w:pPr>
        <w:widowControl w:val="0"/>
        <w:tabs>
          <w:tab w:val="left" w:pos="8080"/>
        </w:tabs>
        <w:autoSpaceDE w:val="0"/>
        <w:autoSpaceDN w:val="0"/>
        <w:ind w:firstLine="709"/>
        <w:jc w:val="both"/>
      </w:pPr>
      <w:r w:rsidRPr="00E45EB9">
        <w:t xml:space="preserve">Населението в трудоспособна възраст (15-64 години) е почти 64%, което е повече в сравнение с това в област Силистра – 61,66%. Това дава основание да се предположи, че ако има инвестиции, които допринасят за разкриване на работни места, проблем с наемането на работници не би имало. </w:t>
      </w:r>
    </w:p>
    <w:p w:rsidR="00E45EB9" w:rsidRDefault="00E45EB9" w:rsidP="00E45EB9">
      <w:pPr>
        <w:widowControl w:val="0"/>
        <w:tabs>
          <w:tab w:val="left" w:pos="8080"/>
        </w:tabs>
        <w:autoSpaceDE w:val="0"/>
        <w:autoSpaceDN w:val="0"/>
        <w:ind w:firstLine="709"/>
        <w:jc w:val="both"/>
      </w:pPr>
    </w:p>
    <w:p w:rsidR="00E45EB9" w:rsidRDefault="00E45EB9" w:rsidP="00E45EB9">
      <w:pPr>
        <w:widowControl w:val="0"/>
        <w:tabs>
          <w:tab w:val="left" w:pos="8080"/>
        </w:tabs>
        <w:autoSpaceDE w:val="0"/>
        <w:autoSpaceDN w:val="0"/>
        <w:ind w:firstLine="709"/>
        <w:jc w:val="both"/>
      </w:pPr>
    </w:p>
    <w:p w:rsidR="00E45EB9" w:rsidRPr="00E45EB9" w:rsidRDefault="00E45EB9" w:rsidP="00E45EB9">
      <w:pPr>
        <w:widowControl w:val="0"/>
        <w:tabs>
          <w:tab w:val="left" w:pos="8080"/>
        </w:tabs>
        <w:autoSpaceDE w:val="0"/>
        <w:autoSpaceDN w:val="0"/>
        <w:ind w:firstLine="709"/>
        <w:jc w:val="both"/>
        <w:rPr>
          <w:b/>
        </w:rPr>
      </w:pPr>
      <w:r w:rsidRPr="00E45EB9">
        <w:rPr>
          <w:b/>
        </w:rPr>
        <w:t>2.2. Състояние на местната икономика</w:t>
      </w:r>
    </w:p>
    <w:p w:rsidR="004128AA" w:rsidRDefault="00E45EB9" w:rsidP="00E45EB9">
      <w:pPr>
        <w:widowControl w:val="0"/>
        <w:tabs>
          <w:tab w:val="left" w:pos="8080"/>
        </w:tabs>
        <w:autoSpaceDE w:val="0"/>
        <w:autoSpaceDN w:val="0"/>
        <w:ind w:firstLine="709"/>
        <w:jc w:val="both"/>
      </w:pPr>
      <w:r w:rsidRPr="00E45EB9">
        <w:t xml:space="preserve">Разпределението на предприятията по големина в общината показва, че в структурата на икономиката </w:t>
      </w:r>
      <w:r w:rsidR="004128AA">
        <w:t>преобладават микропредприятията</w:t>
      </w:r>
      <w:r w:rsidR="002D6B69">
        <w:t>,</w:t>
      </w:r>
      <w:r w:rsidRPr="00E45EB9">
        <w:t xml:space="preserve"> които </w:t>
      </w:r>
      <w:r w:rsidR="004128AA">
        <w:t>към края на 2023</w:t>
      </w:r>
      <w:r w:rsidR="004128AA" w:rsidRPr="00E45EB9">
        <w:t xml:space="preserve"> г. са</w:t>
      </w:r>
      <w:r w:rsidR="004128AA">
        <w:rPr>
          <w:lang w:val="en-GB"/>
        </w:rPr>
        <w:t xml:space="preserve"> 8</w:t>
      </w:r>
      <w:r w:rsidR="005F4347" w:rsidRPr="005F4347">
        <w:rPr>
          <w:b/>
          <w:lang w:val="en-GB"/>
        </w:rPr>
        <w:t>7</w:t>
      </w:r>
      <w:r w:rsidR="002D6B69">
        <w:rPr>
          <w:b/>
        </w:rPr>
        <w:t>.</w:t>
      </w:r>
      <w:r w:rsidR="004128AA" w:rsidRPr="00E45EB9">
        <w:rPr>
          <w:color w:val="FF0000"/>
        </w:rPr>
        <w:t xml:space="preserve"> </w:t>
      </w:r>
      <w:r w:rsidR="002D6B69">
        <w:t>П</w:t>
      </w:r>
      <w:r w:rsidR="005F4347">
        <w:t>рез 2023 беше регистрирано едно ново микропредприятие</w:t>
      </w:r>
      <w:r w:rsidR="002D6B69">
        <w:t xml:space="preserve"> и бе подновена дейността на комплекс „Чобан махала”</w:t>
      </w:r>
      <w:r w:rsidR="00C23D65">
        <w:t>.</w:t>
      </w:r>
      <w:r w:rsidR="005F4347">
        <w:t xml:space="preserve"> </w:t>
      </w:r>
    </w:p>
    <w:p w:rsidR="00E45EB9" w:rsidRPr="00E45EB9" w:rsidRDefault="00E45EB9" w:rsidP="00E45EB9">
      <w:pPr>
        <w:widowControl w:val="0"/>
        <w:tabs>
          <w:tab w:val="left" w:pos="8080"/>
        </w:tabs>
        <w:autoSpaceDE w:val="0"/>
        <w:autoSpaceDN w:val="0"/>
        <w:ind w:firstLine="709"/>
        <w:jc w:val="both"/>
      </w:pPr>
      <w:r w:rsidRPr="00E45EB9">
        <w:t xml:space="preserve"> Броят на малките предприятия (между 10 и 49 заети) се запазва относително постоянен – 6 броя. На територията на община Кайнарджа не функционират средни и големи предприятия.</w:t>
      </w:r>
    </w:p>
    <w:p w:rsidR="00C23D65" w:rsidRDefault="00E45EB9" w:rsidP="00C23D65">
      <w:pPr>
        <w:widowControl w:val="0"/>
        <w:tabs>
          <w:tab w:val="left" w:pos="8080"/>
        </w:tabs>
        <w:autoSpaceDE w:val="0"/>
        <w:autoSpaceDN w:val="0"/>
        <w:spacing w:before="240"/>
        <w:ind w:firstLine="709"/>
        <w:jc w:val="both"/>
      </w:pPr>
      <w:r w:rsidRPr="00E45EB9">
        <w:t xml:space="preserve">Микро предприятията осигуряват по-високия дял заетост в нефинансовите предприятия. Разпределението на фирмите по сектори от икономически дейности в община Кайнарджа показва преобладаващо </w:t>
      </w:r>
      <w:r w:rsidR="00D21D0D">
        <w:t>развитие на сектор търговия,</w:t>
      </w:r>
      <w:r w:rsidRPr="00E45EB9">
        <w:t xml:space="preserve"> услуги, хазартни игри, почистващи фирми и най-вече се увеличи делът на фирмите за производство на енергия от слънцето.</w:t>
      </w:r>
      <w:r w:rsidR="00C23D65">
        <w:rPr>
          <w:lang w:val="en-GB"/>
        </w:rPr>
        <w:t xml:space="preserve"> </w:t>
      </w:r>
      <w:r w:rsidR="005F4347">
        <w:t>К</w:t>
      </w:r>
      <w:r w:rsidR="00C23D65">
        <w:t>ъм края на</w:t>
      </w:r>
      <w:r w:rsidR="005F4347">
        <w:t xml:space="preserve"> 2023 </w:t>
      </w:r>
      <w:r w:rsidR="00C23D65">
        <w:t>на територията на общината вече работят 14 фотоволтечни електроцентрали(ФЕЦ</w:t>
      </w:r>
      <w:r w:rsidR="00C23D65">
        <w:rPr>
          <w:lang w:val="en-GB"/>
        </w:rPr>
        <w:t>)</w:t>
      </w:r>
      <w:r w:rsidR="00C23D65">
        <w:t xml:space="preserve"> , има още 7 обекта с разрешение за строеж ,които са на различен етап от своето строителство като една от тях е преминала 72–часовите проби за пускане в експлоатация.</w:t>
      </w:r>
    </w:p>
    <w:p w:rsidR="00E45EB9" w:rsidRPr="00E45EB9" w:rsidRDefault="00E45EB9" w:rsidP="00C23D65">
      <w:pPr>
        <w:widowControl w:val="0"/>
        <w:tabs>
          <w:tab w:val="left" w:pos="8080"/>
        </w:tabs>
        <w:autoSpaceDE w:val="0"/>
        <w:autoSpaceDN w:val="0"/>
        <w:spacing w:before="240"/>
        <w:jc w:val="both"/>
      </w:pPr>
      <w:r w:rsidRPr="00E45EB9">
        <w:t xml:space="preserve"> </w:t>
      </w:r>
      <w:r w:rsidR="008265A1">
        <w:t>Голяма част от фирмите са в</w:t>
      </w:r>
      <w:r w:rsidRPr="00E45EB9">
        <w:t xml:space="preserve"> областта на селското стопанство</w:t>
      </w:r>
      <w:r w:rsidR="008265A1">
        <w:t xml:space="preserve">, малък процент се пада на </w:t>
      </w:r>
      <w:r w:rsidRPr="00E45EB9">
        <w:t>сектор</w:t>
      </w:r>
      <w:r w:rsidR="008265A1">
        <w:t>а</w:t>
      </w:r>
      <w:r w:rsidRPr="00E45EB9">
        <w:t xml:space="preserve"> </w:t>
      </w:r>
      <w:r w:rsidR="002D6B69">
        <w:t>„</w:t>
      </w:r>
      <w:r w:rsidRPr="00E45EB9">
        <w:t>Хотелиерство и ресторантьорство</w:t>
      </w:r>
      <w:r w:rsidR="002D6B69">
        <w:t>”</w:t>
      </w:r>
      <w:r w:rsidRPr="00E45EB9">
        <w:t>.</w:t>
      </w:r>
    </w:p>
    <w:p w:rsidR="00E45EB9" w:rsidRPr="00E45EB9" w:rsidRDefault="00E45EB9" w:rsidP="00E45EB9">
      <w:pPr>
        <w:widowControl w:val="0"/>
        <w:tabs>
          <w:tab w:val="left" w:pos="8080"/>
        </w:tabs>
        <w:autoSpaceDE w:val="0"/>
        <w:autoSpaceDN w:val="0"/>
        <w:ind w:firstLine="567"/>
        <w:jc w:val="both"/>
      </w:pPr>
      <w:r w:rsidRPr="00E45EB9">
        <w:t>Икономиката на общината е с аграрно-промишлен профил. Селското стопанство е основен отрасъл в общинската икономика</w:t>
      </w:r>
      <w:r w:rsidR="004128AA">
        <w:t xml:space="preserve"> </w:t>
      </w:r>
      <w:r w:rsidRPr="00E45EB9">
        <w:t>Селското стопанство има растениевъдно-животновъдно направление. Застъпено е производство на едногодишни култури - предимно зеленчуци, има зърненожитни насаждания, както и трайни насаждения. От животновъдния сектор, най-добре развито е направлението за отглеждане на дребни преживни животни – овце и кози, но се  отглеждат и говеда, биволи, птици, еднокопитни животни и пчелни семейства.</w:t>
      </w:r>
    </w:p>
    <w:p w:rsidR="00E45EB9" w:rsidRPr="00E45EB9" w:rsidRDefault="00E45EB9" w:rsidP="00E45EB9">
      <w:pPr>
        <w:widowControl w:val="0"/>
        <w:tabs>
          <w:tab w:val="left" w:pos="8080"/>
        </w:tabs>
        <w:autoSpaceDE w:val="0"/>
        <w:autoSpaceDN w:val="0"/>
        <w:ind w:firstLine="567"/>
        <w:jc w:val="both"/>
      </w:pPr>
      <w:r w:rsidRPr="00E45EB9">
        <w:t xml:space="preserve"> Земите в община Кайнарджа по начин на трайно ползване, по данни на Общинската служба по земеделие, към </w:t>
      </w:r>
      <w:r w:rsidR="008265A1">
        <w:t>31.12.2023</w:t>
      </w:r>
      <w:r w:rsidRPr="00E45EB9">
        <w:t xml:space="preserve"> г. са разпределени по следния начин:</w:t>
      </w:r>
    </w:p>
    <w:p w:rsidR="00E45EB9" w:rsidRPr="00E45EB9" w:rsidRDefault="00E45EB9" w:rsidP="00E45EB9">
      <w:pPr>
        <w:widowControl w:val="0"/>
        <w:tabs>
          <w:tab w:val="left" w:pos="8080"/>
        </w:tabs>
        <w:autoSpaceDE w:val="0"/>
        <w:autoSpaceDN w:val="0"/>
        <w:ind w:firstLine="567"/>
        <w:jc w:val="both"/>
      </w:pPr>
    </w:p>
    <w:p w:rsidR="00E45EB9" w:rsidRPr="00E45EB9" w:rsidRDefault="00E45EB9" w:rsidP="00E45EB9">
      <w:pPr>
        <w:widowControl w:val="0"/>
        <w:numPr>
          <w:ilvl w:val="0"/>
          <w:numId w:val="2"/>
        </w:numPr>
        <w:autoSpaceDE w:val="0"/>
        <w:autoSpaceDN w:val="0"/>
        <w:ind w:firstLine="567"/>
        <w:jc w:val="both"/>
      </w:pPr>
      <w:r w:rsidRPr="00E45EB9">
        <w:t xml:space="preserve">Обработваеми земеделски площи – </w:t>
      </w:r>
      <w:r w:rsidRPr="00E45EB9">
        <w:rPr>
          <w:lang w:val="en-US"/>
        </w:rPr>
        <w:t>175 205.00</w:t>
      </w:r>
      <w:r w:rsidRPr="00E45EB9">
        <w:t xml:space="preserve"> дка; </w:t>
      </w:r>
    </w:p>
    <w:p w:rsidR="00E45EB9" w:rsidRPr="00E45EB9" w:rsidRDefault="00E45EB9" w:rsidP="00E45EB9">
      <w:pPr>
        <w:widowControl w:val="0"/>
        <w:numPr>
          <w:ilvl w:val="0"/>
          <w:numId w:val="2"/>
        </w:numPr>
        <w:autoSpaceDE w:val="0"/>
        <w:autoSpaceDN w:val="0"/>
        <w:ind w:firstLine="567"/>
        <w:jc w:val="both"/>
      </w:pPr>
      <w:r w:rsidRPr="00E45EB9">
        <w:t>от тях поливни - 0,00 дка</w:t>
      </w:r>
      <w:r w:rsidRPr="00E45EB9">
        <w:rPr>
          <w:lang w:val="en-US"/>
        </w:rPr>
        <w:t>]</w:t>
      </w:r>
    </w:p>
    <w:p w:rsidR="00E45EB9" w:rsidRPr="00E45EB9" w:rsidRDefault="00E45EB9" w:rsidP="00E45EB9">
      <w:pPr>
        <w:widowControl w:val="0"/>
        <w:numPr>
          <w:ilvl w:val="0"/>
          <w:numId w:val="2"/>
        </w:numPr>
        <w:autoSpaceDE w:val="0"/>
        <w:autoSpaceDN w:val="0"/>
        <w:ind w:firstLine="567"/>
        <w:jc w:val="both"/>
      </w:pPr>
      <w:r w:rsidRPr="00E45EB9">
        <w:t>Пасища и мери –</w:t>
      </w:r>
      <w:r w:rsidRPr="00E45EB9">
        <w:rPr>
          <w:lang w:val="en-US"/>
        </w:rPr>
        <w:t xml:space="preserve"> 37 290.00 </w:t>
      </w:r>
      <w:r w:rsidRPr="00E45EB9">
        <w:t>дка;</w:t>
      </w:r>
    </w:p>
    <w:p w:rsidR="00E45EB9" w:rsidRPr="00E45EB9" w:rsidRDefault="00E45EB9" w:rsidP="00E45EB9">
      <w:pPr>
        <w:widowControl w:val="0"/>
        <w:numPr>
          <w:ilvl w:val="0"/>
          <w:numId w:val="2"/>
        </w:numPr>
        <w:autoSpaceDE w:val="0"/>
        <w:autoSpaceDN w:val="0"/>
        <w:ind w:firstLine="567"/>
        <w:jc w:val="both"/>
      </w:pPr>
      <w:r w:rsidRPr="00E45EB9">
        <w:t>Гори -</w:t>
      </w:r>
      <w:r w:rsidRPr="00E45EB9">
        <w:tab/>
      </w:r>
      <w:r w:rsidRPr="00E45EB9">
        <w:rPr>
          <w:lang w:val="en-US"/>
        </w:rPr>
        <w:t>75 840.00</w:t>
      </w:r>
      <w:r w:rsidRPr="00E45EB9">
        <w:t xml:space="preserve">  дка,</w:t>
      </w:r>
    </w:p>
    <w:p w:rsidR="00E45EB9" w:rsidRPr="00E45EB9" w:rsidRDefault="00E45EB9" w:rsidP="00E45EB9">
      <w:pPr>
        <w:widowControl w:val="0"/>
        <w:autoSpaceDE w:val="0"/>
        <w:autoSpaceDN w:val="0"/>
        <w:ind w:left="567"/>
        <w:jc w:val="both"/>
      </w:pPr>
      <w:r w:rsidRPr="00E45EB9">
        <w:lastRenderedPageBreak/>
        <w:t xml:space="preserve">от тях новозалесени площи     - </w:t>
      </w:r>
      <w:r w:rsidRPr="00E45EB9">
        <w:rPr>
          <w:lang w:val="en-US"/>
        </w:rPr>
        <w:t>0.00</w:t>
      </w:r>
      <w:r w:rsidRPr="00E45EB9">
        <w:t xml:space="preserve"> дка ;</w:t>
      </w:r>
    </w:p>
    <w:p w:rsidR="00E45EB9" w:rsidRPr="00E45EB9" w:rsidRDefault="00E45EB9" w:rsidP="00E45EB9">
      <w:pPr>
        <w:widowControl w:val="0"/>
        <w:numPr>
          <w:ilvl w:val="0"/>
          <w:numId w:val="2"/>
        </w:numPr>
        <w:autoSpaceDE w:val="0"/>
        <w:autoSpaceDN w:val="0"/>
        <w:ind w:firstLine="567"/>
        <w:jc w:val="both"/>
      </w:pPr>
      <w:r w:rsidRPr="00E45EB9">
        <w:t xml:space="preserve">Площи рекултивирани земи - 40,000 дка   </w:t>
      </w:r>
    </w:p>
    <w:p w:rsidR="00E45EB9" w:rsidRPr="00E45EB9" w:rsidRDefault="00E45EB9" w:rsidP="00E45EB9">
      <w:pPr>
        <w:widowControl w:val="0"/>
        <w:autoSpaceDE w:val="0"/>
        <w:autoSpaceDN w:val="0"/>
        <w:ind w:left="567"/>
        <w:jc w:val="both"/>
      </w:pPr>
    </w:p>
    <w:p w:rsidR="00E45EB9" w:rsidRPr="00E45EB9" w:rsidRDefault="00E45EB9" w:rsidP="00E45EB9">
      <w:pPr>
        <w:widowControl w:val="0"/>
        <w:tabs>
          <w:tab w:val="left" w:pos="8080"/>
        </w:tabs>
        <w:autoSpaceDE w:val="0"/>
        <w:autoSpaceDN w:val="0"/>
        <w:ind w:firstLine="567"/>
        <w:jc w:val="both"/>
      </w:pPr>
      <w:r w:rsidRPr="00E45EB9">
        <w:t>В общината традиционно се отглеждат едногодишни култури: царевица, пшеница, рапица, слънчоглед. Регистрирани са малки стопанства, в които се отглеждат зеленчуци</w:t>
      </w:r>
      <w:r w:rsidRPr="00E45EB9">
        <w:rPr>
          <w:lang w:val="en-US"/>
        </w:rPr>
        <w:t xml:space="preserve"> </w:t>
      </w:r>
      <w:r w:rsidRPr="00E45EB9">
        <w:t xml:space="preserve">и билки - предимно пипер, домати, лавандула, маточина и др. </w:t>
      </w:r>
    </w:p>
    <w:p w:rsidR="00E45EB9" w:rsidRPr="00E45EB9" w:rsidRDefault="00E45EB9" w:rsidP="00E45EB9">
      <w:pPr>
        <w:widowControl w:val="0"/>
        <w:tabs>
          <w:tab w:val="left" w:pos="8080"/>
        </w:tabs>
        <w:autoSpaceDE w:val="0"/>
        <w:autoSpaceDN w:val="0"/>
        <w:ind w:firstLine="567"/>
        <w:jc w:val="both"/>
      </w:pPr>
      <w:r w:rsidRPr="00E45EB9">
        <w:t xml:space="preserve">От трайните насаждения се отглеждат, освен лозя и овощни видове: ябълки, круши - от семковите овощни видове; костилкови – кайсии, череши, сливи,  и праскови; от черупковитте видове – орехи и лешници </w:t>
      </w:r>
      <w:r w:rsidR="000263A4">
        <w:t>.П</w:t>
      </w:r>
      <w:r w:rsidR="001F089C">
        <w:t>рез 2023г. има завишение на засе</w:t>
      </w:r>
      <w:r w:rsidR="000263A4">
        <w:t>тите площи с трайни насаждения с 50дка.</w:t>
      </w:r>
    </w:p>
    <w:p w:rsidR="00E45EB9" w:rsidRPr="00E45EB9" w:rsidRDefault="00E45EB9" w:rsidP="00E45EB9">
      <w:pPr>
        <w:widowControl w:val="0"/>
        <w:tabs>
          <w:tab w:val="left" w:pos="8080"/>
        </w:tabs>
        <w:autoSpaceDE w:val="0"/>
        <w:autoSpaceDN w:val="0"/>
        <w:ind w:firstLine="567"/>
        <w:jc w:val="both"/>
      </w:pPr>
      <w:r w:rsidRPr="00E45EB9">
        <w:t xml:space="preserve">Животновъдството в общината също е традиционен поминък. Ориентирано е към отглеждането на говеда, овце и кози, биволи, различни видове птици и </w:t>
      </w:r>
      <w:r w:rsidR="001F089C">
        <w:t xml:space="preserve">др. </w:t>
      </w:r>
    </w:p>
    <w:p w:rsidR="00E45EB9" w:rsidRPr="00E45EB9" w:rsidRDefault="00E45EB9" w:rsidP="00E45EB9">
      <w:pPr>
        <w:widowControl w:val="0"/>
        <w:tabs>
          <w:tab w:val="left" w:pos="8080"/>
        </w:tabs>
        <w:autoSpaceDE w:val="0"/>
        <w:autoSpaceDN w:val="0"/>
        <w:ind w:firstLine="709"/>
        <w:jc w:val="both"/>
      </w:pPr>
      <w:r w:rsidRPr="00E45EB9">
        <w:t>Към 31 .12. 2022 година, броят на животните по видове в община Кайнарджа е следният:</w:t>
      </w:r>
    </w:p>
    <w:p w:rsidR="00E45EB9" w:rsidRPr="00E45EB9" w:rsidRDefault="00E45EB9" w:rsidP="00E45EB9">
      <w:pPr>
        <w:widowControl w:val="0"/>
        <w:tabs>
          <w:tab w:val="left" w:pos="8080"/>
        </w:tabs>
        <w:autoSpaceDE w:val="0"/>
        <w:autoSpaceDN w:val="0"/>
        <w:ind w:firstLine="709"/>
        <w:jc w:val="both"/>
      </w:pPr>
    </w:p>
    <w:p w:rsidR="00E45EB9" w:rsidRPr="00E45EB9" w:rsidRDefault="00E45EB9" w:rsidP="00E45EB9">
      <w:pPr>
        <w:widowControl w:val="0"/>
        <w:tabs>
          <w:tab w:val="left" w:pos="8080"/>
        </w:tabs>
        <w:autoSpaceDE w:val="0"/>
        <w:autoSpaceDN w:val="0"/>
        <w:ind w:firstLine="709"/>
        <w:jc w:val="both"/>
      </w:pPr>
      <w:r w:rsidRPr="00E45EB9">
        <w:rPr>
          <w:b/>
        </w:rPr>
        <w:t>Пчелни семейства – 39 520 броя</w:t>
      </w:r>
      <w:r w:rsidRPr="00E45EB9">
        <w:t>, отглеждани в</w:t>
      </w:r>
      <w:r w:rsidR="00C626AB">
        <w:t xml:space="preserve"> </w:t>
      </w:r>
      <w:r w:rsidR="000263A4">
        <w:t>5</w:t>
      </w:r>
      <w:r w:rsidRPr="00E45EB9">
        <w:t>.животновъдни обекти с пчелини. Пчеларите, които са устроили пчелини на територията на община Кайнарджа и са регистрирали към 3.6.2021 г. по данни на ОД „Земеделие“ са били само 12, но към 31.12.2022 те многократно са се увеличили:</w:t>
      </w:r>
    </w:p>
    <w:p w:rsidR="00E45EB9" w:rsidRPr="00E45EB9" w:rsidRDefault="00E45EB9" w:rsidP="00E45EB9">
      <w:pPr>
        <w:widowControl w:val="0"/>
        <w:tabs>
          <w:tab w:val="left" w:pos="8080"/>
        </w:tabs>
        <w:autoSpaceDE w:val="0"/>
        <w:autoSpaceDN w:val="0"/>
        <w:ind w:firstLine="709"/>
        <w:jc w:val="both"/>
        <w:rPr>
          <w:b/>
        </w:rPr>
      </w:pPr>
    </w:p>
    <w:p w:rsidR="00E45EB9" w:rsidRPr="00E45EB9" w:rsidRDefault="00E45EB9" w:rsidP="00E45EB9">
      <w:pPr>
        <w:widowControl w:val="0"/>
        <w:tabs>
          <w:tab w:val="left" w:pos="8080"/>
        </w:tabs>
        <w:autoSpaceDE w:val="0"/>
        <w:autoSpaceDN w:val="0"/>
        <w:ind w:firstLine="709"/>
        <w:jc w:val="both"/>
      </w:pPr>
      <w:r w:rsidRPr="00E45EB9">
        <w:rPr>
          <w:b/>
        </w:rPr>
        <w:t>Пчелини - 347 броя</w:t>
      </w:r>
      <w:r w:rsidRPr="00E45EB9">
        <w:t xml:space="preserve"> /брой животновъдни обекти – пчелини. </w:t>
      </w:r>
    </w:p>
    <w:p w:rsidR="00E45EB9" w:rsidRPr="00E45EB9" w:rsidRDefault="00E45EB9" w:rsidP="00E45EB9">
      <w:pPr>
        <w:widowControl w:val="0"/>
        <w:tabs>
          <w:tab w:val="left" w:pos="8080"/>
        </w:tabs>
        <w:autoSpaceDE w:val="0"/>
        <w:autoSpaceDN w:val="0"/>
        <w:ind w:firstLine="709"/>
        <w:jc w:val="both"/>
        <w:rPr>
          <w:b/>
        </w:rPr>
      </w:pPr>
      <w:r w:rsidRPr="00E45EB9">
        <w:rPr>
          <w:b/>
        </w:rPr>
        <w:t xml:space="preserve">Говеда  – 1 350 броя, </w:t>
      </w:r>
    </w:p>
    <w:p w:rsidR="00E45EB9" w:rsidRPr="00E45EB9" w:rsidRDefault="00E45EB9" w:rsidP="00E45EB9">
      <w:pPr>
        <w:widowControl w:val="0"/>
        <w:tabs>
          <w:tab w:val="left" w:pos="8080"/>
        </w:tabs>
        <w:autoSpaceDE w:val="0"/>
        <w:autoSpaceDN w:val="0"/>
        <w:ind w:firstLine="709"/>
        <w:jc w:val="both"/>
        <w:rPr>
          <w:b/>
        </w:rPr>
      </w:pPr>
      <w:r w:rsidRPr="00E45EB9">
        <w:rPr>
          <w:b/>
        </w:rPr>
        <w:t xml:space="preserve">Биволи – 25 броя, </w:t>
      </w:r>
    </w:p>
    <w:p w:rsidR="00E45EB9" w:rsidRPr="00E45EB9" w:rsidRDefault="00E45EB9" w:rsidP="00E45EB9">
      <w:pPr>
        <w:widowControl w:val="0"/>
        <w:tabs>
          <w:tab w:val="left" w:pos="8080"/>
        </w:tabs>
        <w:autoSpaceDE w:val="0"/>
        <w:autoSpaceDN w:val="0"/>
        <w:ind w:firstLine="709"/>
        <w:jc w:val="both"/>
        <w:rPr>
          <w:b/>
        </w:rPr>
      </w:pPr>
      <w:r w:rsidRPr="00E45EB9">
        <w:rPr>
          <w:b/>
        </w:rPr>
        <w:t xml:space="preserve">Овце – 2 530 броя, </w:t>
      </w:r>
    </w:p>
    <w:p w:rsidR="00E45EB9" w:rsidRPr="00E45EB9" w:rsidRDefault="00E45EB9" w:rsidP="00E45EB9">
      <w:pPr>
        <w:widowControl w:val="0"/>
        <w:tabs>
          <w:tab w:val="left" w:pos="8080"/>
        </w:tabs>
        <w:autoSpaceDE w:val="0"/>
        <w:autoSpaceDN w:val="0"/>
        <w:ind w:firstLine="709"/>
        <w:jc w:val="both"/>
        <w:rPr>
          <w:b/>
        </w:rPr>
      </w:pPr>
      <w:r w:rsidRPr="00E45EB9">
        <w:rPr>
          <w:b/>
        </w:rPr>
        <w:t xml:space="preserve">Кози – 2 750 броя, </w:t>
      </w:r>
    </w:p>
    <w:p w:rsidR="00E45EB9" w:rsidRPr="00E45EB9" w:rsidRDefault="00E45EB9" w:rsidP="00E45EB9">
      <w:pPr>
        <w:widowControl w:val="0"/>
        <w:tabs>
          <w:tab w:val="left" w:pos="8080"/>
        </w:tabs>
        <w:autoSpaceDE w:val="0"/>
        <w:autoSpaceDN w:val="0"/>
        <w:ind w:firstLine="709"/>
        <w:jc w:val="both"/>
        <w:rPr>
          <w:b/>
        </w:rPr>
      </w:pPr>
      <w:r w:rsidRPr="00E45EB9">
        <w:rPr>
          <w:b/>
        </w:rPr>
        <w:t xml:space="preserve">еднокопитни /коне, магарета, катъри/ - 150 броя  </w:t>
      </w:r>
    </w:p>
    <w:p w:rsidR="00E45EB9" w:rsidRPr="00E45EB9" w:rsidRDefault="00E45EB9" w:rsidP="00E45EB9">
      <w:pPr>
        <w:widowControl w:val="0"/>
        <w:tabs>
          <w:tab w:val="left" w:pos="8080"/>
        </w:tabs>
        <w:autoSpaceDE w:val="0"/>
        <w:autoSpaceDN w:val="0"/>
        <w:ind w:firstLine="709"/>
        <w:jc w:val="both"/>
        <w:rPr>
          <w:b/>
        </w:rPr>
      </w:pPr>
      <w:r w:rsidRPr="00E45EB9">
        <w:rPr>
          <w:b/>
        </w:rPr>
        <w:t>Свине – 300 броя</w:t>
      </w:r>
    </w:p>
    <w:p w:rsidR="00E45EB9" w:rsidRPr="00E45EB9" w:rsidRDefault="00E45EB9" w:rsidP="00E45EB9">
      <w:pPr>
        <w:widowControl w:val="0"/>
        <w:tabs>
          <w:tab w:val="left" w:pos="8080"/>
        </w:tabs>
        <w:autoSpaceDE w:val="0"/>
        <w:autoSpaceDN w:val="0"/>
        <w:ind w:firstLine="709"/>
        <w:jc w:val="both"/>
        <w:rPr>
          <w:b/>
        </w:rPr>
      </w:pPr>
      <w:r w:rsidRPr="00E45EB9">
        <w:rPr>
          <w:b/>
        </w:rPr>
        <w:t xml:space="preserve">Птици – 17 500 </w:t>
      </w:r>
    </w:p>
    <w:p w:rsidR="00E45EB9" w:rsidRPr="00E45EB9" w:rsidRDefault="00E45EB9" w:rsidP="00E45EB9">
      <w:pPr>
        <w:widowControl w:val="0"/>
        <w:tabs>
          <w:tab w:val="left" w:pos="8080"/>
        </w:tabs>
        <w:autoSpaceDE w:val="0"/>
        <w:autoSpaceDN w:val="0"/>
        <w:ind w:firstLine="709"/>
        <w:jc w:val="both"/>
        <w:rPr>
          <w:rFonts w:eastAsia="Calibri"/>
          <w:lang w:eastAsia="en-US"/>
        </w:rPr>
      </w:pPr>
      <w:r w:rsidRPr="00E45EB9">
        <w:rPr>
          <w:rFonts w:eastAsia="Calibri"/>
          <w:b/>
          <w:lang w:eastAsia="en-US"/>
        </w:rPr>
        <w:t>Брой земеделски стопанства</w:t>
      </w:r>
      <w:r w:rsidRPr="00E45EB9">
        <w:rPr>
          <w:rFonts w:eastAsia="Calibri"/>
          <w:lang w:eastAsia="en-US"/>
        </w:rPr>
        <w:t xml:space="preserve">, регистрирани по реда на Наредба № 3 за създаване </w:t>
      </w:r>
    </w:p>
    <w:p w:rsidR="00E45EB9" w:rsidRDefault="00E45EB9" w:rsidP="00E45EB9">
      <w:pPr>
        <w:widowControl w:val="0"/>
        <w:tabs>
          <w:tab w:val="left" w:pos="8080"/>
        </w:tabs>
        <w:autoSpaceDE w:val="0"/>
        <w:autoSpaceDN w:val="0"/>
        <w:ind w:firstLine="709"/>
        <w:jc w:val="both"/>
        <w:rPr>
          <w:rFonts w:eastAsia="Calibri"/>
          <w:b/>
          <w:lang w:eastAsia="en-US"/>
        </w:rPr>
      </w:pPr>
      <w:r w:rsidRPr="00E45EB9">
        <w:rPr>
          <w:rFonts w:eastAsia="Calibri"/>
          <w:lang w:eastAsia="en-US"/>
        </w:rPr>
        <w:t xml:space="preserve">и поддържане регистър на земеделските стопани -  </w:t>
      </w:r>
      <w:r w:rsidRPr="00E45EB9">
        <w:rPr>
          <w:rFonts w:eastAsia="Calibri"/>
          <w:b/>
          <w:lang w:eastAsia="en-US"/>
        </w:rPr>
        <w:t>205</w:t>
      </w:r>
      <w:r w:rsidR="001F089C">
        <w:rPr>
          <w:rFonts w:eastAsia="Calibri"/>
          <w:b/>
          <w:lang w:eastAsia="en-US"/>
        </w:rPr>
        <w:t>.</w:t>
      </w:r>
    </w:p>
    <w:p w:rsidR="00E45EB9" w:rsidRPr="00E45EB9" w:rsidRDefault="00C626AB" w:rsidP="00C626AB">
      <w:pPr>
        <w:widowControl w:val="0"/>
        <w:tabs>
          <w:tab w:val="left" w:pos="8080"/>
        </w:tabs>
        <w:autoSpaceDE w:val="0"/>
        <w:autoSpaceDN w:val="0"/>
        <w:ind w:firstLine="709"/>
        <w:jc w:val="both"/>
        <w:rPr>
          <w:rFonts w:eastAsia="Calibri"/>
          <w:lang w:eastAsia="en-US"/>
        </w:rPr>
      </w:pPr>
      <w:r w:rsidRPr="00C626AB">
        <w:rPr>
          <w:rFonts w:eastAsia="Calibri"/>
          <w:lang w:eastAsia="en-US"/>
        </w:rPr>
        <w:t>В община Кайнарджа</w:t>
      </w:r>
      <w:r w:rsidRPr="00C626AB">
        <w:rPr>
          <w:rFonts w:eastAsia="Calibri"/>
          <w:b/>
          <w:lang w:eastAsia="en-US"/>
        </w:rPr>
        <w:t xml:space="preserve"> се </w:t>
      </w:r>
      <w:r w:rsidRPr="00C626AB">
        <w:rPr>
          <w:rFonts w:eastAsia="Calibri"/>
          <w:lang w:eastAsia="en-US"/>
        </w:rPr>
        <w:t>увеличават предимно живот</w:t>
      </w:r>
      <w:r>
        <w:rPr>
          <w:rFonts w:eastAsia="Calibri"/>
          <w:lang w:eastAsia="en-US"/>
        </w:rPr>
        <w:t>н</w:t>
      </w:r>
      <w:r w:rsidRPr="00C626AB">
        <w:rPr>
          <w:rFonts w:eastAsia="Calibri"/>
          <w:lang w:eastAsia="en-US"/>
        </w:rPr>
        <w:t xml:space="preserve">овъдните стопанства където местното население намира възможност за упражняване на трудова дейност и осигуряване на доходи поради слабо развитата икономика в общината </w:t>
      </w:r>
      <w:r>
        <w:rPr>
          <w:rFonts w:eastAsia="Calibri"/>
          <w:lang w:eastAsia="en-US"/>
        </w:rPr>
        <w:t>.</w:t>
      </w:r>
    </w:p>
    <w:p w:rsidR="00E45EB9" w:rsidRPr="00E45EB9" w:rsidRDefault="00E45EB9" w:rsidP="00E45EB9">
      <w:pPr>
        <w:widowControl w:val="0"/>
        <w:tabs>
          <w:tab w:val="left" w:pos="8080"/>
        </w:tabs>
        <w:autoSpaceDE w:val="0"/>
        <w:autoSpaceDN w:val="0"/>
        <w:ind w:firstLine="709"/>
        <w:jc w:val="both"/>
      </w:pPr>
      <w:r w:rsidRPr="00E45EB9">
        <w:t>По данни от регистрите на земеделските стопани, регистрирани и поддържащи актуална регистрация като такива в ОД „Земеделие“, гр. Силистра, броят на стопанствата, отглеждащи трайни насаждения - плодни дръвчета към края на 2022 година са 10 стопанства, като освен обичайните градини от сливи, кайсии, череши и ябълки, се появиха и нови градини от круши и праскови.</w:t>
      </w:r>
    </w:p>
    <w:p w:rsidR="00E45EB9" w:rsidRPr="00E45EB9" w:rsidRDefault="00E45EB9" w:rsidP="00E45EB9">
      <w:pPr>
        <w:widowControl w:val="0"/>
        <w:tabs>
          <w:tab w:val="left" w:pos="8080"/>
        </w:tabs>
        <w:autoSpaceDE w:val="0"/>
        <w:autoSpaceDN w:val="0"/>
        <w:ind w:firstLine="709"/>
        <w:jc w:val="both"/>
      </w:pPr>
      <w:r w:rsidRPr="00E45EB9">
        <w:t>Трябва да се отбележи и относително постоянният брой на стопанствата, в които се стопанисват земеделски площи с начин на трайно ползване „нива“  и обща площ – повече от 50 дка. Това са около и над 50 % от стопанствата в общината. Основна причина за това е наличието на висок клас земеделска техника, с която се обработват стопанисваните площи, гарантира се висок добив и качество на отглежданите култури.</w:t>
      </w:r>
    </w:p>
    <w:p w:rsidR="00E45EB9" w:rsidRPr="00E45EB9" w:rsidRDefault="00E45EB9" w:rsidP="00E45EB9">
      <w:pPr>
        <w:widowControl w:val="0"/>
        <w:tabs>
          <w:tab w:val="left" w:pos="8080"/>
        </w:tabs>
        <w:autoSpaceDE w:val="0"/>
        <w:autoSpaceDN w:val="0"/>
        <w:ind w:firstLine="709"/>
        <w:jc w:val="both"/>
        <w:rPr>
          <w:b/>
        </w:rPr>
      </w:pPr>
      <w:r w:rsidRPr="00E45EB9">
        <w:rPr>
          <w:b/>
        </w:rPr>
        <w:t>Хранително-вкусова промишленост и вино-производство.</w:t>
      </w:r>
    </w:p>
    <w:p w:rsidR="00E45EB9" w:rsidRPr="00E45EB9" w:rsidRDefault="00E45EB9" w:rsidP="001F089C">
      <w:pPr>
        <w:widowControl w:val="0"/>
        <w:tabs>
          <w:tab w:val="left" w:pos="851"/>
          <w:tab w:val="left" w:pos="8080"/>
        </w:tabs>
        <w:autoSpaceDE w:val="0"/>
        <w:autoSpaceDN w:val="0"/>
        <w:jc w:val="both"/>
      </w:pPr>
      <w:r w:rsidRPr="00E45EB9">
        <w:t xml:space="preserve"> В общината има 5 лицензирани зърноплощадки, някои от които са собственост на арендаторите. Регионът има добри традиции в лозарството. Отглеждат се лозя от сорта </w:t>
      </w:r>
      <w:r w:rsidRPr="00E45EB9">
        <w:lastRenderedPageBreak/>
        <w:t>"Каберне Совиньон". В село Кайнарджа функционира</w:t>
      </w:r>
      <w:r w:rsidR="009021EE">
        <w:t xml:space="preserve"> една винарски изба - "Изба Кайнараджа" </w:t>
      </w:r>
      <w:r w:rsidR="002D6B69">
        <w:t>, в коя</w:t>
      </w:r>
      <w:r w:rsidRPr="00E45EB9">
        <w:t>то се произвежда вино по стара добруджанска технология. На територията на общината има фирма за разфасоване на пчелен мед. Правят се опити част от продукцията да се изнася в чужбина.</w:t>
      </w:r>
    </w:p>
    <w:p w:rsidR="00E45EB9" w:rsidRPr="00E45EB9" w:rsidRDefault="00E45EB9" w:rsidP="00E45EB9">
      <w:pPr>
        <w:widowControl w:val="0"/>
        <w:tabs>
          <w:tab w:val="left" w:pos="851"/>
          <w:tab w:val="left" w:pos="8080"/>
        </w:tabs>
        <w:autoSpaceDE w:val="0"/>
        <w:autoSpaceDN w:val="0"/>
        <w:ind w:firstLine="709"/>
        <w:jc w:val="both"/>
        <w:rPr>
          <w:b/>
        </w:rPr>
      </w:pPr>
      <w:r w:rsidRPr="00E45EB9">
        <w:rPr>
          <w:b/>
        </w:rPr>
        <w:t>Промишленост</w:t>
      </w:r>
    </w:p>
    <w:p w:rsidR="00E45EB9" w:rsidRPr="00E45EB9" w:rsidRDefault="002D6B69" w:rsidP="00E45EB9">
      <w:pPr>
        <w:widowControl w:val="0"/>
        <w:tabs>
          <w:tab w:val="left" w:pos="851"/>
          <w:tab w:val="left" w:pos="8080"/>
        </w:tabs>
        <w:autoSpaceDE w:val="0"/>
        <w:autoSpaceDN w:val="0"/>
        <w:ind w:firstLine="709"/>
        <w:jc w:val="both"/>
      </w:pPr>
      <w:r>
        <w:t xml:space="preserve">Развитието на промишлеността е основно в сфера „Енергетика”. </w:t>
      </w:r>
      <w:r w:rsidR="000263A4">
        <w:t>В общината има вече 14</w:t>
      </w:r>
      <w:r w:rsidR="00E45EB9" w:rsidRPr="00E45EB9">
        <w:t xml:space="preserve"> построени обекти за добив на електроенергия от възобновяеми източници. Тези обект</w:t>
      </w:r>
      <w:r w:rsidR="000263A4">
        <w:t>и се появиха в разстояние на чет</w:t>
      </w:r>
      <w:r w:rsidR="009021EE">
        <w:t>и</w:t>
      </w:r>
      <w:r w:rsidR="000263A4">
        <w:t>ри</w:t>
      </w:r>
      <w:r w:rsidR="00E45EB9" w:rsidRPr="00E45EB9">
        <w:t xml:space="preserve"> години и представляват фотоволтаични централи</w:t>
      </w:r>
      <w:r w:rsidR="00585258">
        <w:t>/ФЕЦ/</w:t>
      </w:r>
      <w:r w:rsidR="00E45EB9" w:rsidRPr="00E45EB9">
        <w:t xml:space="preserve"> за добиване на ел</w:t>
      </w:r>
      <w:r>
        <w:t>-</w:t>
      </w:r>
      <w:r w:rsidR="00E45EB9" w:rsidRPr="00E45EB9">
        <w:t>енергия от слънцето. Разположени са в селата Кайнарджа, Светослав, Добруджанка, Войново</w:t>
      </w:r>
      <w:r w:rsidR="009021EE">
        <w:t>, Стрелково</w:t>
      </w:r>
      <w:r w:rsidR="00E45EB9" w:rsidRPr="00E45EB9">
        <w:t xml:space="preserve"> и Краново. Продължава интереса на инвеститорите в тази посока.</w:t>
      </w:r>
      <w:r w:rsidR="00585258">
        <w:t xml:space="preserve"> Има още 7 издадени разрешителни за строеж на такива малки ФЕЦ.</w:t>
      </w:r>
    </w:p>
    <w:p w:rsidR="00E45EB9" w:rsidRPr="00E45EB9" w:rsidRDefault="00E45EB9" w:rsidP="00E45EB9">
      <w:pPr>
        <w:widowControl w:val="0"/>
        <w:tabs>
          <w:tab w:val="left" w:pos="8080"/>
        </w:tabs>
        <w:autoSpaceDE w:val="0"/>
        <w:autoSpaceDN w:val="0"/>
        <w:ind w:firstLine="709"/>
        <w:jc w:val="both"/>
      </w:pPr>
    </w:p>
    <w:p w:rsidR="00E45EB9" w:rsidRPr="00E45EB9" w:rsidRDefault="00E45EB9" w:rsidP="00E45EB9">
      <w:pPr>
        <w:widowControl w:val="0"/>
        <w:tabs>
          <w:tab w:val="left" w:pos="851"/>
          <w:tab w:val="left" w:pos="8080"/>
        </w:tabs>
        <w:autoSpaceDE w:val="0"/>
        <w:autoSpaceDN w:val="0"/>
        <w:ind w:firstLine="709"/>
        <w:jc w:val="both"/>
      </w:pPr>
      <w:r w:rsidRPr="00E45EB9">
        <w:rPr>
          <w:b/>
        </w:rPr>
        <w:t>2.2.2. Услуги</w:t>
      </w:r>
      <w:r w:rsidRPr="00E45EB9">
        <w:t xml:space="preserve"> </w:t>
      </w:r>
    </w:p>
    <w:p w:rsidR="00E45EB9" w:rsidRPr="00E45EB9" w:rsidRDefault="00E45EB9" w:rsidP="00E45EB9">
      <w:pPr>
        <w:tabs>
          <w:tab w:val="left" w:pos="851"/>
        </w:tabs>
        <w:ind w:firstLine="567"/>
        <w:jc w:val="both"/>
        <w:rPr>
          <w:rFonts w:eastAsia="Calibri"/>
          <w:lang w:eastAsia="en-US"/>
        </w:rPr>
      </w:pPr>
      <w:r w:rsidRPr="00E45EB9">
        <w:rPr>
          <w:rFonts w:eastAsia="Calibri"/>
          <w:lang w:eastAsia="en-US"/>
        </w:rPr>
        <w:t>Социалните дейности на територията на община Кайнарджа са добре организирани като структури и са обхванати почти всички групи, които се нуждаят от социални услуги. Качеството на предоставяните услуги е на много добро ниво и капацитетът на социалните услуги е запълнен постоянно.</w:t>
      </w:r>
    </w:p>
    <w:p w:rsidR="00E45EB9" w:rsidRPr="00E45EB9" w:rsidRDefault="00E45EB9" w:rsidP="00E45EB9">
      <w:pPr>
        <w:tabs>
          <w:tab w:val="left" w:pos="851"/>
        </w:tabs>
        <w:ind w:firstLine="567"/>
        <w:jc w:val="both"/>
        <w:rPr>
          <w:rFonts w:eastAsia="Calibri"/>
          <w:lang w:eastAsia="en-US"/>
        </w:rPr>
      </w:pPr>
      <w:r w:rsidRPr="00E45EB9">
        <w:rPr>
          <w:rFonts w:eastAsia="Calibri"/>
          <w:lang w:eastAsia="en-US"/>
        </w:rPr>
        <w:t>Предоставят се социални услуги както следва:</w:t>
      </w:r>
    </w:p>
    <w:p w:rsidR="00E45EB9" w:rsidRPr="00E45EB9" w:rsidRDefault="00E45EB9" w:rsidP="00E45EB9">
      <w:pPr>
        <w:tabs>
          <w:tab w:val="left" w:pos="851"/>
        </w:tabs>
        <w:ind w:firstLine="567"/>
        <w:jc w:val="both"/>
        <w:rPr>
          <w:rFonts w:eastAsia="Calibri"/>
          <w:lang w:eastAsia="en-US"/>
        </w:rPr>
      </w:pPr>
      <w:r w:rsidRPr="00E45EB9">
        <w:rPr>
          <w:rFonts w:eastAsia="Calibri"/>
          <w:b/>
          <w:i/>
          <w:lang w:eastAsia="en-US"/>
        </w:rPr>
        <w:t>Домашен социален патронаж</w:t>
      </w:r>
      <w:r w:rsidRPr="00E45EB9">
        <w:rPr>
          <w:rFonts w:eastAsia="Calibri"/>
          <w:lang w:eastAsia="en-US"/>
        </w:rPr>
        <w:t xml:space="preserve"> /ДСП/ и обществена трапезария. Разкрит е още през 1992 год. В момента той е с капацитет 50 човека и с неговите услуги се посрещат и удовлетворяват нуждите на най- уязвимите групи на обществото ни – старите хора и хората с увреждания. Към ДСП през 1999 год. се разкрива и обществена трапезария за деца с капацитет 360 ученици, като се ползва базата на ученическите столове;</w:t>
      </w:r>
    </w:p>
    <w:p w:rsidR="00817A50" w:rsidRDefault="00E45EB9" w:rsidP="00817A50">
      <w:pPr>
        <w:tabs>
          <w:tab w:val="left" w:pos="851"/>
        </w:tabs>
        <w:ind w:firstLine="567"/>
        <w:jc w:val="both"/>
        <w:rPr>
          <w:rFonts w:eastAsia="Calibri"/>
          <w:lang w:eastAsia="en-US"/>
        </w:rPr>
      </w:pPr>
      <w:r w:rsidRPr="00E45EB9">
        <w:rPr>
          <w:rFonts w:eastAsia="Calibri"/>
          <w:b/>
          <w:i/>
          <w:lang w:eastAsia="en-US"/>
        </w:rPr>
        <w:t>Дневен център за стари хора</w:t>
      </w:r>
      <w:r w:rsidRPr="00E45EB9">
        <w:rPr>
          <w:rFonts w:eastAsia="Calibri"/>
          <w:lang w:eastAsia="en-US"/>
        </w:rPr>
        <w:t xml:space="preserve"> в с. Кайнарджа, разкрит 2003 год. , с капацитет от 32 човека, като постоянно има чакащи за настаняване. Предоставя социална и трудотерапия чрез групови мероприятия, рехабилитация чрез няколко уреда – бягаща пътека и масажен стол. Центърът е разположен в центъра на с. Кайнарджа в част от сграда – 2-ри етаж, в която се помещават спешен център, лекарски и стоматологичен кабинет. Няма осигурена достъпна среда за лица със затруднения в придвижването.</w:t>
      </w:r>
      <w:r w:rsidR="007413D8">
        <w:rPr>
          <w:rFonts w:eastAsia="Calibri"/>
          <w:lang w:eastAsia="en-US"/>
        </w:rPr>
        <w:t xml:space="preserve"> </w:t>
      </w:r>
    </w:p>
    <w:p w:rsidR="00817A50" w:rsidRPr="00E45EB9" w:rsidRDefault="00E45EB9" w:rsidP="00817A50">
      <w:pPr>
        <w:tabs>
          <w:tab w:val="left" w:pos="851"/>
        </w:tabs>
        <w:ind w:firstLine="567"/>
        <w:jc w:val="both"/>
        <w:rPr>
          <w:rFonts w:eastAsia="Calibri"/>
          <w:lang w:eastAsia="en-US"/>
        </w:rPr>
      </w:pPr>
      <w:r w:rsidRPr="00E45EB9">
        <w:rPr>
          <w:rFonts w:eastAsia="Calibri"/>
          <w:b/>
          <w:i/>
          <w:lang w:eastAsia="en-US"/>
        </w:rPr>
        <w:t xml:space="preserve">Дневен център за </w:t>
      </w:r>
      <w:r w:rsidR="007413D8">
        <w:rPr>
          <w:rFonts w:eastAsia="Calibri"/>
          <w:b/>
          <w:i/>
          <w:lang w:eastAsia="en-US"/>
        </w:rPr>
        <w:t xml:space="preserve">пълнолетни лица </w:t>
      </w:r>
      <w:r w:rsidRPr="00E45EB9">
        <w:rPr>
          <w:rFonts w:eastAsia="Calibri"/>
          <w:b/>
          <w:i/>
          <w:lang w:eastAsia="en-US"/>
        </w:rPr>
        <w:t>с увреждания</w:t>
      </w:r>
      <w:r w:rsidRPr="00E45EB9">
        <w:rPr>
          <w:rFonts w:eastAsia="Calibri"/>
          <w:lang w:eastAsia="en-US"/>
        </w:rPr>
        <w:t xml:space="preserve">, </w:t>
      </w:r>
      <w:r w:rsidR="007413D8">
        <w:rPr>
          <w:rFonts w:eastAsia="Calibri"/>
          <w:lang w:eastAsia="en-US"/>
        </w:rPr>
        <w:t>с.Средище</w:t>
      </w:r>
      <w:r w:rsidRPr="00E45EB9">
        <w:rPr>
          <w:rFonts w:eastAsia="Calibri"/>
          <w:lang w:eastAsia="en-US"/>
        </w:rPr>
        <w:t>. Предоставят се разнообразни социални, здравно-рехабилитационни и психологични услуги на</w:t>
      </w:r>
      <w:r w:rsidR="007413D8">
        <w:rPr>
          <w:rFonts w:eastAsia="Calibri"/>
          <w:lang w:eastAsia="en-US"/>
        </w:rPr>
        <w:t xml:space="preserve"> потребителите. </w:t>
      </w:r>
      <w:r w:rsidRPr="00E45EB9">
        <w:rPr>
          <w:rFonts w:eastAsia="Calibri"/>
          <w:lang w:eastAsia="en-US"/>
        </w:rPr>
        <w:t xml:space="preserve"> Центърът е оборудван с магнитен апарат, електрически стимулатори, електрически масажори със и без инфрачервени добавки, бягаща пътека, велоергометър и др. Сградата, в която се помещава ДЦПЛУ е реконструирана стара селскостопанска постройка, общинска собственост. Услугата разполага с нов специализиран микробус (7-местен) за превоз на потребителите с подемник за инвалидни колички, който е закупен през 2016 г.</w:t>
      </w:r>
      <w:r w:rsidR="00817A50" w:rsidRPr="00817A50">
        <w:rPr>
          <w:rFonts w:eastAsia="Calibri"/>
          <w:lang w:eastAsia="en-US"/>
        </w:rPr>
        <w:t xml:space="preserve"> </w:t>
      </w:r>
      <w:r w:rsidR="00817A50">
        <w:rPr>
          <w:rFonts w:eastAsia="Calibri"/>
          <w:lang w:eastAsia="en-US"/>
        </w:rPr>
        <w:t>Благодарение на подсигуреният специализиран транспорт , квалифицираните услуги ,предложени от  персонала интересът към услугата нараства и има все по-вече желаещи да бъдат приети.</w:t>
      </w:r>
      <w:r w:rsidR="00817A50" w:rsidRPr="00E45EB9">
        <w:rPr>
          <w:rFonts w:eastAsia="Calibri"/>
          <w:lang w:eastAsia="en-US"/>
        </w:rPr>
        <w:t xml:space="preserve"> </w:t>
      </w:r>
    </w:p>
    <w:p w:rsidR="00E45EB9" w:rsidRPr="00E45EB9" w:rsidRDefault="00E45EB9" w:rsidP="00E45EB9">
      <w:pPr>
        <w:tabs>
          <w:tab w:val="left" w:pos="851"/>
        </w:tabs>
        <w:ind w:firstLine="567"/>
        <w:jc w:val="both"/>
        <w:rPr>
          <w:rFonts w:eastAsia="Calibri"/>
          <w:lang w:eastAsia="en-US"/>
        </w:rPr>
      </w:pPr>
      <w:r w:rsidRPr="00E45EB9">
        <w:rPr>
          <w:rFonts w:eastAsia="Calibri"/>
          <w:lang w:eastAsia="en-US"/>
        </w:rPr>
        <w:t xml:space="preserve"> Щатният персонал е 20 длъжности. Има наети почасово трима специалисти – психолог, лекар-специалист и музикален педагог. Предоставят се почасови услуги и за външни посетители.</w:t>
      </w:r>
    </w:p>
    <w:p w:rsidR="00E45EB9" w:rsidRDefault="00E45EB9" w:rsidP="00E45EB9">
      <w:pPr>
        <w:tabs>
          <w:tab w:val="left" w:pos="851"/>
        </w:tabs>
        <w:ind w:firstLine="567"/>
        <w:jc w:val="both"/>
        <w:rPr>
          <w:rFonts w:eastAsia="Calibri"/>
          <w:lang w:eastAsia="en-US"/>
        </w:rPr>
      </w:pPr>
      <w:r w:rsidRPr="00E45EB9">
        <w:rPr>
          <w:rFonts w:eastAsia="Calibri"/>
          <w:b/>
          <w:i/>
          <w:lang w:eastAsia="en-US"/>
        </w:rPr>
        <w:t>Център за настаняване от семеен тип,</w:t>
      </w:r>
      <w:r w:rsidRPr="00E45EB9">
        <w:rPr>
          <w:rFonts w:eastAsia="Calibri"/>
          <w:lang w:eastAsia="en-US"/>
        </w:rPr>
        <w:t xml:space="preserve"> разкрит през 2010 година с капацитет 8 деца, лишени от родителска грижа, които получават адекватни грижи в условия, близки до семейната среда. Центърът се помещава на първи етаж от триетажна сграда, общинска </w:t>
      </w:r>
      <w:r w:rsidRPr="00E45EB9">
        <w:rPr>
          <w:rFonts w:eastAsia="Calibri"/>
          <w:lang w:eastAsia="en-US"/>
        </w:rPr>
        <w:lastRenderedPageBreak/>
        <w:t>собственост. Обособени са три спални помещения, дневна стая, административен кабинет, кухня, склад и шест санитарни помещения – три тоалетни, две бани и мокро помещение.</w:t>
      </w:r>
      <w:r w:rsidRPr="00E45EB9">
        <w:rPr>
          <w:rFonts w:ascii="Calibri" w:eastAsia="Calibri" w:hAnsi="Calibri"/>
          <w:lang w:eastAsia="en-US"/>
        </w:rPr>
        <w:t xml:space="preserve"> </w:t>
      </w:r>
      <w:r w:rsidRPr="00E45EB9">
        <w:rPr>
          <w:rFonts w:eastAsia="Calibri"/>
          <w:lang w:eastAsia="en-US"/>
        </w:rPr>
        <w:t>Числеността на персонала е 6 щатни бройки;</w:t>
      </w:r>
    </w:p>
    <w:p w:rsidR="00F753D3" w:rsidRPr="00E45EB9" w:rsidRDefault="00F753D3" w:rsidP="00F753D3">
      <w:pPr>
        <w:tabs>
          <w:tab w:val="left" w:pos="851"/>
        </w:tabs>
        <w:ind w:firstLine="567"/>
        <w:jc w:val="both"/>
        <w:rPr>
          <w:rFonts w:eastAsia="Calibri"/>
          <w:lang w:eastAsia="en-US"/>
        </w:rPr>
      </w:pPr>
      <w:r w:rsidRPr="00291F4E">
        <w:rPr>
          <w:rFonts w:eastAsia="Calibri"/>
          <w:b/>
          <w:i/>
          <w:lang w:eastAsia="en-US"/>
        </w:rPr>
        <w:t>Общинско звено за предоставяне на услуги в обичайната домашна среда.</w:t>
      </w:r>
      <w:r w:rsidRPr="00291F4E">
        <w:rPr>
          <w:rFonts w:eastAsia="Calibri"/>
          <w:lang w:eastAsia="en-US"/>
        </w:rPr>
        <w:t xml:space="preserve"> Предоставят се алтернативни социални услуги – личен асистент, социален асистент, домашен помощник, лична помощ</w:t>
      </w:r>
      <w:r w:rsidR="00B54719">
        <w:rPr>
          <w:rFonts w:eastAsia="Calibri"/>
          <w:lang w:eastAsia="en-US"/>
        </w:rPr>
        <w:t>, консултиране</w:t>
      </w:r>
      <w:r w:rsidRPr="00291F4E">
        <w:rPr>
          <w:rFonts w:eastAsia="Calibri"/>
          <w:lang w:eastAsia="en-US"/>
        </w:rPr>
        <w:t xml:space="preserve"> и други чрез на</w:t>
      </w:r>
      <w:r w:rsidR="00B54719">
        <w:rPr>
          <w:rFonts w:eastAsia="Calibri"/>
          <w:lang w:eastAsia="en-US"/>
        </w:rPr>
        <w:t>ционални програми или проекти приключващата</w:t>
      </w:r>
      <w:r w:rsidRPr="00291F4E">
        <w:rPr>
          <w:rFonts w:eastAsia="Calibri"/>
          <w:lang w:eastAsia="en-US"/>
        </w:rPr>
        <w:t xml:space="preserve"> ОП РЧР2014-</w:t>
      </w:r>
      <w:r w:rsidR="00B54719">
        <w:rPr>
          <w:rFonts w:eastAsia="Calibri"/>
          <w:lang w:eastAsia="en-US"/>
        </w:rPr>
        <w:t>2020.</w:t>
      </w:r>
    </w:p>
    <w:p w:rsidR="00E45EB9" w:rsidRPr="00E45EB9" w:rsidRDefault="00E45EB9" w:rsidP="00E45EB9">
      <w:pPr>
        <w:tabs>
          <w:tab w:val="left" w:pos="851"/>
        </w:tabs>
        <w:ind w:firstLine="567"/>
        <w:jc w:val="both"/>
        <w:rPr>
          <w:b/>
        </w:rPr>
      </w:pPr>
    </w:p>
    <w:p w:rsidR="00291F4E" w:rsidRPr="00291F4E" w:rsidRDefault="00291F4E" w:rsidP="00291F4E">
      <w:pPr>
        <w:tabs>
          <w:tab w:val="left" w:pos="851"/>
        </w:tabs>
        <w:ind w:firstLine="567"/>
        <w:jc w:val="both"/>
      </w:pPr>
      <w:r w:rsidRPr="00291F4E">
        <w:rPr>
          <w:b/>
        </w:rPr>
        <w:t>2.2.3. Изводи</w:t>
      </w:r>
      <w:r w:rsidRPr="00291F4E">
        <w:t xml:space="preserve">. </w:t>
      </w:r>
    </w:p>
    <w:p w:rsidR="00291F4E" w:rsidRPr="00291F4E" w:rsidRDefault="00291F4E" w:rsidP="00291F4E">
      <w:pPr>
        <w:tabs>
          <w:tab w:val="left" w:pos="851"/>
        </w:tabs>
        <w:ind w:firstLine="567"/>
        <w:jc w:val="both"/>
      </w:pPr>
    </w:p>
    <w:p w:rsidR="00291F4E" w:rsidRPr="00291F4E" w:rsidRDefault="00291F4E" w:rsidP="00291F4E">
      <w:pPr>
        <w:tabs>
          <w:tab w:val="left" w:pos="851"/>
        </w:tabs>
        <w:ind w:firstLine="567"/>
        <w:jc w:val="both"/>
        <w:rPr>
          <w:b/>
        </w:rPr>
      </w:pPr>
      <w:r w:rsidRPr="00291F4E">
        <w:rPr>
          <w:b/>
        </w:rPr>
        <w:t xml:space="preserve">2.3. Развитие на социалната сфера и човешките ресурси. </w:t>
      </w:r>
    </w:p>
    <w:p w:rsidR="00291F4E" w:rsidRPr="00291F4E" w:rsidRDefault="00291F4E" w:rsidP="00291F4E">
      <w:pPr>
        <w:tabs>
          <w:tab w:val="left" w:pos="851"/>
        </w:tabs>
        <w:ind w:firstLine="567"/>
        <w:jc w:val="both"/>
        <w:rPr>
          <w:rFonts w:eastAsia="Calibri"/>
          <w:b/>
          <w:lang w:eastAsia="en-US"/>
        </w:rPr>
      </w:pPr>
      <w:r w:rsidRPr="00291F4E">
        <w:rPr>
          <w:b/>
        </w:rPr>
        <w:t>2.3.1. Пазар на труда</w:t>
      </w:r>
    </w:p>
    <w:p w:rsidR="00291F4E" w:rsidRDefault="00F2537D" w:rsidP="00291F4E">
      <w:pPr>
        <w:widowControl w:val="0"/>
        <w:tabs>
          <w:tab w:val="left" w:pos="851"/>
          <w:tab w:val="left" w:pos="8080"/>
        </w:tabs>
        <w:autoSpaceDE w:val="0"/>
        <w:autoSpaceDN w:val="0"/>
        <w:ind w:firstLine="709"/>
        <w:jc w:val="both"/>
        <w:rPr>
          <w:b/>
        </w:rPr>
      </w:pPr>
      <w:r>
        <w:rPr>
          <w:b/>
        </w:rPr>
        <w:t xml:space="preserve">2.3.1.1. Заетост </w:t>
      </w:r>
    </w:p>
    <w:p w:rsidR="00F2537D" w:rsidRPr="00F2537D" w:rsidRDefault="00F2537D" w:rsidP="00291F4E">
      <w:pPr>
        <w:widowControl w:val="0"/>
        <w:tabs>
          <w:tab w:val="left" w:pos="851"/>
          <w:tab w:val="left" w:pos="8080"/>
        </w:tabs>
        <w:autoSpaceDE w:val="0"/>
        <w:autoSpaceDN w:val="0"/>
        <w:ind w:firstLine="709"/>
        <w:jc w:val="both"/>
      </w:pPr>
      <w:r w:rsidRPr="00F2537D">
        <w:t>Заетостта в община Кайнарджа е предимно в сфеиата на селското стопанство при условията на самонаемане или малки и средни предпри</w:t>
      </w:r>
      <w:r>
        <w:t>ятия</w:t>
      </w:r>
      <w:r w:rsidRPr="00F2537D">
        <w:t>,</w:t>
      </w:r>
      <w:r w:rsidR="00C06A43">
        <w:t xml:space="preserve"> </w:t>
      </w:r>
      <w:r w:rsidRPr="00F2537D">
        <w:t>обработващи земята.Една малка част са работещи публичната администрация, образователните и социалните услуги и др.</w:t>
      </w:r>
    </w:p>
    <w:p w:rsidR="00291F4E" w:rsidRDefault="00291F4E" w:rsidP="00291F4E">
      <w:pPr>
        <w:widowControl w:val="0"/>
        <w:tabs>
          <w:tab w:val="left" w:pos="851"/>
        </w:tabs>
        <w:autoSpaceDE w:val="0"/>
        <w:autoSpaceDN w:val="0"/>
        <w:ind w:firstLine="709"/>
        <w:jc w:val="both"/>
        <w:rPr>
          <w:b/>
        </w:rPr>
      </w:pPr>
      <w:r w:rsidRPr="00291F4E">
        <w:rPr>
          <w:b/>
        </w:rPr>
        <w:t>2.3.1.2. Безработица</w:t>
      </w:r>
    </w:p>
    <w:p w:rsidR="00291F4E" w:rsidRPr="00291F4E" w:rsidRDefault="00C06A43" w:rsidP="00C06A43">
      <w:pPr>
        <w:tabs>
          <w:tab w:val="left" w:pos="851"/>
        </w:tabs>
        <w:ind w:firstLine="567"/>
        <w:jc w:val="both"/>
        <w:rPr>
          <w:rFonts w:eastAsia="Calibri"/>
          <w:lang w:eastAsia="en-US"/>
        </w:rPr>
      </w:pPr>
      <w:r w:rsidRPr="00291F4E">
        <w:rPr>
          <w:rFonts w:eastAsia="Calibri"/>
          <w:lang w:eastAsia="en-US"/>
        </w:rPr>
        <w:t xml:space="preserve">На територията на общината, безработицата години наред е най-висока за област Силистра, </w:t>
      </w:r>
      <w:r>
        <w:rPr>
          <w:rFonts w:eastAsia="Calibri"/>
          <w:lang w:eastAsia="en-US"/>
        </w:rPr>
        <w:t>Голяма част от жителите</w:t>
      </w:r>
      <w:r w:rsidRPr="00291F4E">
        <w:rPr>
          <w:rFonts w:eastAsia="Calibri"/>
          <w:lang w:eastAsia="en-US"/>
        </w:rPr>
        <w:t xml:space="preserve"> са с основно и по-ниско образование, без правоспособности и</w:t>
      </w:r>
      <w:r>
        <w:rPr>
          <w:rFonts w:eastAsia="Calibri"/>
          <w:lang w:eastAsia="en-US"/>
        </w:rPr>
        <w:t xml:space="preserve"> квалификация, което води и до високия процент безреботица.</w:t>
      </w:r>
      <w:r w:rsidRPr="00291F4E">
        <w:rPr>
          <w:rFonts w:eastAsia="Calibri"/>
          <w:lang w:eastAsia="en-US"/>
        </w:rPr>
        <w:t xml:space="preserve"> Относителният дял на заетите в общината към 31.12.2020г. от общо трудоспособното население </w:t>
      </w:r>
      <w:r w:rsidRPr="00F2537D">
        <w:rPr>
          <w:rFonts w:eastAsia="Calibri"/>
          <w:color w:val="FF0000"/>
          <w:lang w:eastAsia="en-US"/>
        </w:rPr>
        <w:t>е 18 %</w:t>
      </w:r>
      <w:r w:rsidRPr="00291F4E">
        <w:rPr>
          <w:rFonts w:eastAsia="Calibri"/>
          <w:lang w:eastAsia="en-US"/>
        </w:rPr>
        <w:t xml:space="preserve"> по данни на Агенция по заетостта</w:t>
      </w:r>
      <w:r>
        <w:rPr>
          <w:rFonts w:eastAsia="Calibri"/>
          <w:lang w:eastAsia="en-US"/>
        </w:rPr>
        <w:t>.</w:t>
      </w:r>
    </w:p>
    <w:p w:rsidR="00291F4E" w:rsidRPr="00291F4E" w:rsidRDefault="00291F4E" w:rsidP="00291F4E">
      <w:pPr>
        <w:widowControl w:val="0"/>
        <w:tabs>
          <w:tab w:val="left" w:pos="851"/>
          <w:tab w:val="left" w:pos="8080"/>
        </w:tabs>
        <w:autoSpaceDE w:val="0"/>
        <w:autoSpaceDN w:val="0"/>
        <w:ind w:firstLine="567"/>
        <w:jc w:val="both"/>
        <w:rPr>
          <w:b/>
        </w:rPr>
      </w:pPr>
      <w:r w:rsidRPr="00291F4E">
        <w:rPr>
          <w:b/>
        </w:rPr>
        <w:t>2.3.1.3.Здравеопазване</w:t>
      </w:r>
    </w:p>
    <w:p w:rsidR="00291F4E" w:rsidRPr="00291F4E" w:rsidRDefault="00291F4E" w:rsidP="00291F4E">
      <w:pPr>
        <w:tabs>
          <w:tab w:val="left" w:pos="851"/>
        </w:tabs>
        <w:ind w:firstLine="567"/>
        <w:jc w:val="both"/>
        <w:rPr>
          <w:rFonts w:eastAsia="Calibri"/>
          <w:lang w:eastAsia="en-US"/>
        </w:rPr>
      </w:pPr>
      <w:r w:rsidRPr="00291F4E">
        <w:rPr>
          <w:rFonts w:eastAsia="Calibri"/>
          <w:lang w:eastAsia="en-US"/>
        </w:rPr>
        <w:t>Здравеопазването в общината се реализира чрез 3 индивидуални лекарски практики и 4 индивидуални стоматологични практики</w:t>
      </w:r>
      <w:r w:rsidR="00CD0E82">
        <w:rPr>
          <w:rFonts w:eastAsia="Calibri"/>
          <w:lang w:eastAsia="en-US"/>
        </w:rPr>
        <w:t>/за жалост и четирите са незаети/</w:t>
      </w:r>
      <w:r w:rsidRPr="00291F4E">
        <w:rPr>
          <w:rFonts w:eastAsia="Calibri"/>
          <w:lang w:eastAsia="en-US"/>
        </w:rPr>
        <w:t xml:space="preserve"> - в с. Кайнарджа, с. Средище и с. Голеш (едната лекарска практика обикновено</w:t>
      </w:r>
      <w:r w:rsidR="00CD0E82">
        <w:rPr>
          <w:rFonts w:eastAsia="Calibri"/>
          <w:lang w:eastAsia="en-US"/>
        </w:rPr>
        <w:t xml:space="preserve"> е трайно незаета</w:t>
      </w:r>
      <w:r w:rsidRPr="00291F4E">
        <w:rPr>
          <w:rFonts w:eastAsia="Calibri"/>
          <w:lang w:eastAsia="en-US"/>
        </w:rPr>
        <w:t>). На територия на общината няма изградени болници и поликлиники. В село Кайнарджа съществува Център за спешна медицинска помощ, който е от голяма полза за населението на общината. На територията на общината няма аптеки. Най-близкото лечебно заведение за болнична помощ е "МБАЛ - Силистра" АД в гр. Силистра. Там се обслужва населението от 7 общини на област Силистра. Населението на региона се насочва към "МБАЛ - Силистра" за консултативна и стационарна помощ, но хората често посещават и университетските болници в гр. Варна или „МБАЛ – Добрич”, както и специалисти в Дулово, Шумен и Русе. Понякога личните лекари от индивидуалните практики на община Кайнарджа канят медицински специалисти с различни профили за профилактични прегледи на населението, на което предоставят здравни услуги.</w:t>
      </w:r>
    </w:p>
    <w:p w:rsidR="00291F4E" w:rsidRPr="00291F4E" w:rsidRDefault="00291F4E" w:rsidP="00291F4E">
      <w:pPr>
        <w:widowControl w:val="0"/>
        <w:tabs>
          <w:tab w:val="left" w:pos="851"/>
          <w:tab w:val="left" w:pos="8080"/>
        </w:tabs>
        <w:autoSpaceDE w:val="0"/>
        <w:autoSpaceDN w:val="0"/>
        <w:ind w:firstLine="709"/>
        <w:jc w:val="both"/>
        <w:rPr>
          <w:b/>
        </w:rPr>
      </w:pPr>
      <w:r w:rsidRPr="00291F4E">
        <w:rPr>
          <w:b/>
        </w:rPr>
        <w:t>2.3.5. Образование.</w:t>
      </w:r>
    </w:p>
    <w:p w:rsidR="00291F4E" w:rsidRPr="00291F4E" w:rsidRDefault="00291F4E" w:rsidP="00291F4E">
      <w:pPr>
        <w:tabs>
          <w:tab w:val="left" w:pos="851"/>
        </w:tabs>
        <w:ind w:firstLine="709"/>
        <w:jc w:val="both"/>
        <w:rPr>
          <w:color w:val="000000"/>
        </w:rPr>
      </w:pPr>
      <w:r w:rsidRPr="00291F4E">
        <w:rPr>
          <w:color w:val="000000"/>
        </w:rPr>
        <w:t>Община Кайнарджа има добре развита образователна структура. В общината функционират 5 учебни заведения от всички образователни степени, водещи до достигане на средно образование – предучилищна, начална, прогимназиална и гимназиална. Предучилищната степен на образование се осигурява чрез ДГ „Еделвайс”, която има три филиала – централен – в с. Кайнарджа и други два в селата Средище и Голеш.</w:t>
      </w:r>
    </w:p>
    <w:p w:rsidR="00291F4E" w:rsidRPr="00291F4E" w:rsidRDefault="00291F4E" w:rsidP="00291F4E">
      <w:pPr>
        <w:tabs>
          <w:tab w:val="left" w:pos="851"/>
        </w:tabs>
        <w:ind w:firstLine="709"/>
        <w:jc w:val="both"/>
        <w:rPr>
          <w:color w:val="000000"/>
        </w:rPr>
      </w:pPr>
      <w:r w:rsidRPr="00291F4E">
        <w:rPr>
          <w:color w:val="000000"/>
        </w:rPr>
        <w:t>Основните училища – ОУ „Черноризец Храбър“, в село Кайнарджа, ОУ „Цанко Церковски“, с. Средище и ОУ „Васил Априлов“, с.Голеш са средищни и до тях децата от околните села се извозват чрез осигурен от общината транспорт ежедневно.</w:t>
      </w:r>
    </w:p>
    <w:p w:rsidR="00291F4E" w:rsidRPr="00291F4E" w:rsidRDefault="00291F4E" w:rsidP="00291F4E">
      <w:pPr>
        <w:tabs>
          <w:tab w:val="left" w:pos="851"/>
        </w:tabs>
        <w:ind w:firstLine="709"/>
        <w:jc w:val="both"/>
        <w:rPr>
          <w:color w:val="000000"/>
        </w:rPr>
      </w:pPr>
      <w:r w:rsidRPr="00291F4E">
        <w:rPr>
          <w:color w:val="000000"/>
        </w:rPr>
        <w:lastRenderedPageBreak/>
        <w:t xml:space="preserve">Средното образование в общината се обезпечава от намиращата се в  с. Средище  ПГ МСС „Никола Вапцаров” – образователна институция  с 63 годишна история, където се подготвят кадри за селското стопанство. </w:t>
      </w:r>
    </w:p>
    <w:p w:rsidR="00652936" w:rsidRDefault="00291F4E" w:rsidP="00291F4E">
      <w:pPr>
        <w:tabs>
          <w:tab w:val="left" w:pos="851"/>
        </w:tabs>
        <w:ind w:firstLine="709"/>
        <w:jc w:val="both"/>
        <w:rPr>
          <w:color w:val="000000"/>
        </w:rPr>
      </w:pPr>
      <w:r w:rsidRPr="00291F4E">
        <w:rPr>
          <w:color w:val="000000"/>
        </w:rPr>
        <w:t>Всички училища и детски градини имат добр</w:t>
      </w:r>
      <w:r w:rsidR="001460B9">
        <w:rPr>
          <w:color w:val="000000"/>
        </w:rPr>
        <w:t>е ремонтирани и санирани сгради с изключени</w:t>
      </w:r>
      <w:r w:rsidR="00652936">
        <w:rPr>
          <w:color w:val="000000"/>
        </w:rPr>
        <w:t>е</w:t>
      </w:r>
      <w:r w:rsidR="001460B9">
        <w:rPr>
          <w:color w:val="000000"/>
        </w:rPr>
        <w:t xml:space="preserve"> на учи</w:t>
      </w:r>
      <w:r w:rsidR="00652936">
        <w:rPr>
          <w:color w:val="000000"/>
        </w:rPr>
        <w:t>лището в с.Кайнарджа, чието ръководство и общината търсят средства ,за да се продължат ремонтните дейности започнали през 2022</w:t>
      </w:r>
    </w:p>
    <w:p w:rsidR="00291F4E" w:rsidRPr="00291F4E" w:rsidRDefault="00291F4E" w:rsidP="00291F4E">
      <w:pPr>
        <w:tabs>
          <w:tab w:val="left" w:pos="851"/>
        </w:tabs>
        <w:ind w:firstLine="709"/>
        <w:jc w:val="both"/>
        <w:rPr>
          <w:color w:val="000000"/>
        </w:rPr>
      </w:pPr>
      <w:r w:rsidRPr="00291F4E">
        <w:rPr>
          <w:color w:val="000000"/>
        </w:rPr>
        <w:t>През предходни години със средства от Европейския фонд за регионално развитие са обновени трите сгради на ДГ и единия корпус на ОУ в с. Средище и е повишена тяхната енергийна ефективност. За втория корпус на ОУ ”Цанко Церковски” в с. Средище са привлечени средства от Социално-инвестиционния фонд. За ОУ „Васил Априлов” в с. Голеш е осигурено финансиране от ДБ на стойност над 2,5 млн. лева за доизграждане на втори корпус и за построяване на нова спортна база на открито и закрито. С помощта на средства от ЕФРР, през 2019 година бе открита новата учебна сграда на  ПГМСС на обща стойност 1 999 999,00 лв.</w:t>
      </w:r>
    </w:p>
    <w:p w:rsidR="00291F4E" w:rsidRPr="00291F4E" w:rsidRDefault="00291F4E" w:rsidP="009C273E">
      <w:pPr>
        <w:tabs>
          <w:tab w:val="left" w:pos="851"/>
        </w:tabs>
        <w:ind w:firstLine="709"/>
        <w:jc w:val="both"/>
        <w:rPr>
          <w:color w:val="000000"/>
        </w:rPr>
      </w:pPr>
      <w:r w:rsidRPr="00291F4E">
        <w:rPr>
          <w:color w:val="000000"/>
        </w:rPr>
        <w:t xml:space="preserve">Тенденцията е към намаляване на учащите в общината, като част от причините са насочването им към училища в областния град или отпадане от училище поради заминаване за чужбина. </w:t>
      </w:r>
    </w:p>
    <w:p w:rsidR="00291F4E" w:rsidRPr="00291F4E" w:rsidRDefault="00291F4E" w:rsidP="00291F4E">
      <w:pPr>
        <w:tabs>
          <w:tab w:val="left" w:pos="851"/>
        </w:tabs>
        <w:ind w:firstLine="709"/>
        <w:jc w:val="both"/>
        <w:rPr>
          <w:color w:val="000000"/>
        </w:rPr>
      </w:pPr>
      <w:r w:rsidRPr="00291F4E">
        <w:rPr>
          <w:color w:val="000000"/>
        </w:rPr>
        <w:t>Въпреки констатираните тревожни тенденции, всички педагогически кадри са добре подготвени за работа с деца и ученици, и непрекъснато надграждат своя капацитет. В</w:t>
      </w:r>
      <w:r w:rsidR="00652936">
        <w:rPr>
          <w:color w:val="000000"/>
        </w:rPr>
        <w:t>сички образователни институции провеждат ежегодно</w:t>
      </w:r>
      <w:r w:rsidRPr="00291F4E">
        <w:rPr>
          <w:color w:val="000000"/>
        </w:rPr>
        <w:t xml:space="preserve"> обучения на екипите си за повишаване на квалификацията на учителите и другите педагогически и специализирани кадри.</w:t>
      </w:r>
      <w:r w:rsidR="00582002">
        <w:rPr>
          <w:color w:val="000000"/>
        </w:rPr>
        <w:t xml:space="preserve"> </w:t>
      </w:r>
      <w:r w:rsidR="00A369C2">
        <w:rPr>
          <w:color w:val="000000"/>
        </w:rPr>
        <w:t>Благодарение на добрата материална база и професионализма на педагогическия екип</w:t>
      </w:r>
      <w:r w:rsidR="00582002">
        <w:rPr>
          <w:color w:val="000000"/>
        </w:rPr>
        <w:t xml:space="preserve"> и умелите действия от страна на директора и ръководството</w:t>
      </w:r>
      <w:r w:rsidR="00A369C2">
        <w:rPr>
          <w:color w:val="000000"/>
        </w:rPr>
        <w:t>, ПГМСС</w:t>
      </w:r>
      <w:r w:rsidR="00582002">
        <w:rPr>
          <w:color w:val="000000"/>
        </w:rPr>
        <w:t xml:space="preserve"> </w:t>
      </w:r>
      <w:r w:rsidR="00A369C2">
        <w:rPr>
          <w:color w:val="000000"/>
        </w:rPr>
        <w:t>”Н.Вапцаров”</w:t>
      </w:r>
      <w:r w:rsidR="00582002">
        <w:rPr>
          <w:color w:val="000000"/>
        </w:rPr>
        <w:t xml:space="preserve"> стана част от избраните 28 п</w:t>
      </w:r>
      <w:r w:rsidR="00A369C2">
        <w:rPr>
          <w:color w:val="000000"/>
        </w:rPr>
        <w:t>рофесионални</w:t>
      </w:r>
      <w:r w:rsidR="00582002">
        <w:rPr>
          <w:color w:val="000000"/>
        </w:rPr>
        <w:t xml:space="preserve"> гимназии от цялата страна /</w:t>
      </w:r>
      <w:r w:rsidR="00A369C2">
        <w:rPr>
          <w:color w:val="000000"/>
        </w:rPr>
        <w:t>общо 316</w:t>
      </w:r>
      <w:r w:rsidR="00582002">
        <w:rPr>
          <w:color w:val="000000"/>
        </w:rPr>
        <w:t>/</w:t>
      </w:r>
      <w:r w:rsidR="00A369C2">
        <w:rPr>
          <w:color w:val="000000"/>
        </w:rPr>
        <w:t xml:space="preserve"> </w:t>
      </w:r>
      <w:r w:rsidR="00582002">
        <w:rPr>
          <w:color w:val="000000"/>
        </w:rPr>
        <w:t xml:space="preserve">- </w:t>
      </w:r>
      <w:r w:rsidR="00A369C2">
        <w:rPr>
          <w:color w:val="000000"/>
        </w:rPr>
        <w:t>да ста</w:t>
      </w:r>
      <w:r w:rsidR="00582002">
        <w:rPr>
          <w:color w:val="000000"/>
        </w:rPr>
        <w:t>не център</w:t>
      </w:r>
      <w:r w:rsidR="00A369C2">
        <w:rPr>
          <w:color w:val="000000"/>
        </w:rPr>
        <w:t xml:space="preserve"> за високи постижения.</w:t>
      </w:r>
    </w:p>
    <w:p w:rsidR="00291F4E" w:rsidRPr="00291F4E" w:rsidRDefault="00291F4E" w:rsidP="00291F4E">
      <w:pPr>
        <w:widowControl w:val="0"/>
        <w:tabs>
          <w:tab w:val="left" w:pos="851"/>
          <w:tab w:val="left" w:pos="8080"/>
        </w:tabs>
        <w:autoSpaceDE w:val="0"/>
        <w:autoSpaceDN w:val="0"/>
        <w:ind w:firstLine="709"/>
        <w:jc w:val="both"/>
        <w:rPr>
          <w:b/>
        </w:rPr>
      </w:pPr>
      <w:r w:rsidRPr="00291F4E">
        <w:rPr>
          <w:b/>
        </w:rPr>
        <w:t>2.3.6. Култура.</w:t>
      </w:r>
    </w:p>
    <w:p w:rsidR="00291F4E" w:rsidRPr="00291F4E" w:rsidRDefault="00291F4E" w:rsidP="00291F4E">
      <w:pPr>
        <w:spacing w:after="160" w:line="259" w:lineRule="auto"/>
        <w:rPr>
          <w:rFonts w:eastAsiaTheme="minorHAnsi"/>
          <w:lang w:eastAsia="en-US"/>
        </w:rPr>
      </w:pPr>
      <w:r w:rsidRPr="00291F4E">
        <w:rPr>
          <w:rFonts w:eastAsiaTheme="minorHAnsi"/>
          <w:lang w:eastAsia="en-US"/>
        </w:rPr>
        <w:t xml:space="preserve">През Отчетната 2023 година читалищата в община  Кайнарджа продължават да следват и надграждат дейността си в библиотечното дело и културно-просветните дейности чрез самодейните колективи за автентичен фолклор  , певческите и танцови самодейни състави, любителско творчество за различни видове художествена дейност.  </w:t>
      </w:r>
    </w:p>
    <w:p w:rsidR="00291F4E" w:rsidRPr="00291F4E" w:rsidRDefault="00291F4E" w:rsidP="00291F4E">
      <w:pPr>
        <w:spacing w:after="160" w:line="259" w:lineRule="auto"/>
        <w:rPr>
          <w:rFonts w:eastAsiaTheme="minorHAnsi"/>
          <w:lang w:eastAsia="en-US"/>
        </w:rPr>
      </w:pPr>
      <w:r w:rsidRPr="00291F4E">
        <w:rPr>
          <w:rFonts w:eastAsiaTheme="minorHAnsi"/>
          <w:lang w:eastAsia="en-US"/>
        </w:rPr>
        <w:t xml:space="preserve">Читалищата „Отец Паисий-1942“ с. Кайнарджа, </w:t>
      </w:r>
      <w:r w:rsidRPr="00291F4E">
        <w:rPr>
          <w:rFonts w:eastAsiaTheme="minorHAnsi"/>
          <w:lang w:val="en-US" w:eastAsia="en-US"/>
        </w:rPr>
        <w:t xml:space="preserve">„ Надежда-1943г.“  </w:t>
      </w:r>
      <w:r w:rsidRPr="00291F4E">
        <w:rPr>
          <w:rFonts w:eastAsiaTheme="minorHAnsi"/>
          <w:lang w:eastAsia="en-US"/>
        </w:rPr>
        <w:t>,</w:t>
      </w:r>
      <w:r w:rsidRPr="00291F4E">
        <w:rPr>
          <w:rFonts w:eastAsiaTheme="minorHAnsi"/>
          <w:lang w:val="en-US" w:eastAsia="en-US"/>
        </w:rPr>
        <w:t xml:space="preserve">   с. Зарник</w:t>
      </w:r>
      <w:r w:rsidRPr="00291F4E">
        <w:rPr>
          <w:rFonts w:eastAsiaTheme="minorHAnsi"/>
          <w:lang w:eastAsia="en-US"/>
        </w:rPr>
        <w:t xml:space="preserve">,  </w:t>
      </w:r>
      <w:r w:rsidRPr="00291F4E">
        <w:rPr>
          <w:rFonts w:eastAsiaTheme="minorHAnsi"/>
          <w:lang w:val="en-US" w:eastAsia="en-US"/>
        </w:rPr>
        <w:t>„Стефан Караджа - 1943” – с. Средище</w:t>
      </w:r>
      <w:r w:rsidRPr="00291F4E">
        <w:rPr>
          <w:rFonts w:eastAsiaTheme="minorHAnsi"/>
          <w:lang w:eastAsia="en-US"/>
        </w:rPr>
        <w:t xml:space="preserve"> и  </w:t>
      </w:r>
      <w:r w:rsidRPr="00291F4E">
        <w:rPr>
          <w:rFonts w:eastAsiaTheme="minorHAnsi"/>
          <w:bCs/>
          <w:color w:val="333333"/>
          <w:lang w:eastAsia="en-US"/>
        </w:rPr>
        <w:t xml:space="preserve">”Родина-1941”с. Голеш </w:t>
      </w:r>
      <w:r w:rsidRPr="00291F4E">
        <w:rPr>
          <w:rFonts w:eastAsiaTheme="minorHAnsi"/>
          <w:lang w:eastAsia="en-US"/>
        </w:rPr>
        <w:t>организират чествания на традиционни празници ,</w:t>
      </w:r>
      <w:r w:rsidR="00D10623">
        <w:rPr>
          <w:rFonts w:eastAsiaTheme="minorHAnsi"/>
          <w:lang w:eastAsia="en-US"/>
        </w:rPr>
        <w:t xml:space="preserve"> </w:t>
      </w:r>
      <w:r w:rsidRPr="00291F4E">
        <w:rPr>
          <w:rFonts w:eastAsiaTheme="minorHAnsi"/>
          <w:lang w:eastAsia="en-US"/>
        </w:rPr>
        <w:t>свързани с местния и националния календар; участия в регионални и национални фолклорни фестивали ; отбелязване на годишнини от важни за българската история , просвета и култура личности.</w:t>
      </w:r>
    </w:p>
    <w:p w:rsidR="00291F4E" w:rsidRPr="00291F4E" w:rsidRDefault="00291F4E" w:rsidP="00291F4E">
      <w:pPr>
        <w:spacing w:after="160" w:line="259" w:lineRule="auto"/>
        <w:rPr>
          <w:rFonts w:eastAsiaTheme="minorHAnsi"/>
          <w:lang w:eastAsia="en-US"/>
        </w:rPr>
      </w:pPr>
      <w:r w:rsidRPr="00291F4E">
        <w:rPr>
          <w:rFonts w:eastAsiaTheme="minorHAnsi"/>
          <w:lang w:eastAsia="en-US"/>
        </w:rPr>
        <w:t xml:space="preserve">Можем да споменем някои от по- важните достижения за 2023 г от дейността  на читалищата на територията на общината: </w:t>
      </w:r>
    </w:p>
    <w:p w:rsidR="00291F4E" w:rsidRPr="00291F4E" w:rsidRDefault="00291F4E" w:rsidP="002B04A8">
      <w:pPr>
        <w:spacing w:after="160" w:line="259" w:lineRule="auto"/>
        <w:rPr>
          <w:rFonts w:eastAsiaTheme="minorHAnsi"/>
          <w:bCs/>
          <w:color w:val="333333"/>
          <w:lang w:eastAsia="en-US"/>
        </w:rPr>
      </w:pPr>
      <w:r w:rsidRPr="00291F4E">
        <w:rPr>
          <w:rFonts w:eastAsiaTheme="minorHAnsi"/>
          <w:bCs/>
          <w:color w:val="333333"/>
          <w:lang w:eastAsia="en-US"/>
        </w:rPr>
        <w:t>НЧ</w:t>
      </w:r>
      <w:r w:rsidRPr="00291F4E">
        <w:rPr>
          <w:rFonts w:eastAsiaTheme="minorHAnsi"/>
          <w:lang w:val="en-US" w:eastAsia="en-US"/>
        </w:rPr>
        <w:t xml:space="preserve">„ НАДЕЖДА-1943г.“  </w:t>
      </w:r>
      <w:r w:rsidRPr="00291F4E">
        <w:rPr>
          <w:rFonts w:eastAsiaTheme="minorHAnsi"/>
          <w:lang w:eastAsia="en-US"/>
        </w:rPr>
        <w:t>С</w:t>
      </w:r>
      <w:r w:rsidRPr="00291F4E">
        <w:rPr>
          <w:rFonts w:eastAsiaTheme="minorHAnsi"/>
          <w:lang w:val="en-US" w:eastAsia="en-US"/>
        </w:rPr>
        <w:t>.</w:t>
      </w:r>
      <w:r w:rsidRPr="00291F4E">
        <w:rPr>
          <w:rFonts w:eastAsiaTheme="minorHAnsi"/>
          <w:bCs/>
          <w:color w:val="333333"/>
          <w:lang w:eastAsia="en-US"/>
        </w:rPr>
        <w:t>Зарник.</w:t>
      </w:r>
    </w:p>
    <w:p w:rsidR="00291F4E" w:rsidRPr="00291F4E" w:rsidRDefault="00291F4E" w:rsidP="00291F4E">
      <w:pPr>
        <w:spacing w:after="160" w:line="259" w:lineRule="auto"/>
        <w:rPr>
          <w:rFonts w:eastAsiaTheme="minorHAnsi"/>
          <w:bCs/>
          <w:color w:val="333333"/>
          <w:lang w:eastAsia="en-US"/>
        </w:rPr>
      </w:pPr>
      <w:r w:rsidRPr="00291F4E">
        <w:rPr>
          <w:rFonts w:eastAsiaTheme="minorHAnsi"/>
          <w:lang w:eastAsia="en-US"/>
        </w:rPr>
        <w:t>С</w:t>
      </w:r>
      <w:r w:rsidRPr="00291F4E">
        <w:rPr>
          <w:rFonts w:eastAsiaTheme="minorHAnsi"/>
          <w:lang w:val="en-US" w:eastAsia="en-US"/>
        </w:rPr>
        <w:t>печелен пореден проект към МК</w:t>
      </w:r>
      <w:r w:rsidRPr="00291F4E">
        <w:rPr>
          <w:rFonts w:eastAsiaTheme="minorHAnsi"/>
          <w:lang w:eastAsia="en-US"/>
        </w:rPr>
        <w:t xml:space="preserve"> </w:t>
      </w:r>
      <w:r w:rsidRPr="00291F4E">
        <w:rPr>
          <w:rFonts w:eastAsiaTheme="minorHAnsi"/>
          <w:lang w:val="en-US" w:eastAsia="en-US"/>
        </w:rPr>
        <w:t>„Българските библиотеки- съвременни центрове за четене и информираност 2023” на стойност 1499,61 лв. ,което ще</w:t>
      </w:r>
      <w:r w:rsidR="00D10623">
        <w:rPr>
          <w:rFonts w:eastAsiaTheme="minorHAnsi"/>
          <w:lang w:val="en-US" w:eastAsia="en-US"/>
        </w:rPr>
        <w:t xml:space="preserve"> позволи заку</w:t>
      </w:r>
      <w:r w:rsidR="00D10623">
        <w:rPr>
          <w:rFonts w:eastAsiaTheme="minorHAnsi"/>
          <w:lang w:eastAsia="en-US"/>
        </w:rPr>
        <w:t>пуването на още</w:t>
      </w:r>
      <w:r w:rsidR="002B04A8">
        <w:rPr>
          <w:rFonts w:eastAsiaTheme="minorHAnsi"/>
          <w:lang w:val="en-US" w:eastAsia="en-US"/>
        </w:rPr>
        <w:t xml:space="preserve"> 92</w:t>
      </w:r>
      <w:r w:rsidR="002B04A8">
        <w:rPr>
          <w:rFonts w:eastAsiaTheme="minorHAnsi"/>
          <w:lang w:eastAsia="en-US"/>
        </w:rPr>
        <w:t xml:space="preserve">  </w:t>
      </w:r>
      <w:r w:rsidRPr="00291F4E">
        <w:rPr>
          <w:rFonts w:eastAsiaTheme="minorHAnsi"/>
          <w:lang w:val="en-US" w:eastAsia="en-US"/>
        </w:rPr>
        <w:t>книги.</w:t>
      </w:r>
      <w:r w:rsidR="00D10623">
        <w:rPr>
          <w:rFonts w:eastAsiaTheme="minorHAnsi"/>
          <w:lang w:eastAsia="en-US"/>
        </w:rPr>
        <w:t xml:space="preserve"> </w:t>
      </w:r>
      <w:r w:rsidRPr="00291F4E">
        <w:rPr>
          <w:rFonts w:eastAsiaTheme="minorHAnsi"/>
          <w:lang w:val="en-US" w:eastAsia="en-US"/>
        </w:rPr>
        <w:t>В читалището развиват своя талант и умения около</w:t>
      </w:r>
      <w:r w:rsidRPr="00291F4E">
        <w:rPr>
          <w:rFonts w:eastAsiaTheme="minorHAnsi"/>
          <w:lang w:eastAsia="en-US"/>
        </w:rPr>
        <w:t xml:space="preserve"> </w:t>
      </w:r>
      <w:r w:rsidRPr="00291F4E">
        <w:rPr>
          <w:rFonts w:eastAsiaTheme="minorHAnsi"/>
          <w:lang w:val="en-US" w:eastAsia="en-US"/>
        </w:rPr>
        <w:t xml:space="preserve">  65  деца и възрастни. Ръководител на танцовите състави е Гуадалупе Страхилова. Към читалището има сформирани; ДТС „Медено звънче“; ТС „Надежда“; Група за народни хора „Надежда“; </w:t>
      </w:r>
      <w:r w:rsidRPr="00291F4E">
        <w:rPr>
          <w:rFonts w:eastAsiaTheme="minorHAnsi"/>
          <w:lang w:val="en-US" w:eastAsia="en-US"/>
        </w:rPr>
        <w:lastRenderedPageBreak/>
        <w:t>ДФГ „Медени гласчета“.</w:t>
      </w:r>
      <w:r w:rsidRPr="00291F4E">
        <w:rPr>
          <w:rFonts w:eastAsiaTheme="minorHAnsi"/>
          <w:lang w:eastAsia="en-US"/>
        </w:rPr>
        <w:t xml:space="preserve">Изградена е </w:t>
      </w:r>
      <w:r w:rsidRPr="00291F4E">
        <w:rPr>
          <w:rFonts w:eastAsiaTheme="minorHAnsi"/>
          <w:lang w:val="en-US" w:eastAsia="en-US"/>
        </w:rPr>
        <w:t xml:space="preserve"> „</w:t>
      </w:r>
      <w:r w:rsidRPr="00291F4E">
        <w:rPr>
          <w:rFonts w:eastAsiaTheme="minorHAnsi"/>
          <w:lang w:eastAsia="en-US"/>
        </w:rPr>
        <w:t xml:space="preserve"> </w:t>
      </w:r>
      <w:r w:rsidRPr="00291F4E">
        <w:rPr>
          <w:rFonts w:eastAsiaTheme="minorHAnsi"/>
          <w:lang w:val="en-US" w:eastAsia="en-US"/>
        </w:rPr>
        <w:t>Арт работилница”</w:t>
      </w:r>
      <w:r w:rsidRPr="00291F4E">
        <w:rPr>
          <w:rFonts w:eastAsiaTheme="minorHAnsi"/>
          <w:lang w:eastAsia="en-US"/>
        </w:rPr>
        <w:t xml:space="preserve">за </w:t>
      </w:r>
      <w:r w:rsidRPr="00291F4E">
        <w:rPr>
          <w:rFonts w:eastAsiaTheme="minorHAnsi"/>
          <w:lang w:val="en-US" w:eastAsia="en-US"/>
        </w:rPr>
        <w:t xml:space="preserve"> изработват</w:t>
      </w:r>
      <w:r w:rsidRPr="00291F4E">
        <w:rPr>
          <w:rFonts w:eastAsiaTheme="minorHAnsi"/>
          <w:lang w:eastAsia="en-US"/>
        </w:rPr>
        <w:t xml:space="preserve">ване на </w:t>
      </w:r>
      <w:r w:rsidRPr="00291F4E">
        <w:rPr>
          <w:rFonts w:eastAsiaTheme="minorHAnsi"/>
          <w:lang w:val="en-US" w:eastAsia="en-US"/>
        </w:rPr>
        <w:t xml:space="preserve"> декори за различните мероприятия и концерти  в читалището.</w:t>
      </w:r>
      <w:r w:rsidRPr="00291F4E">
        <w:rPr>
          <w:rFonts w:eastAsiaTheme="minorHAnsi"/>
          <w:lang w:eastAsia="en-US"/>
        </w:rPr>
        <w:t>През настоящата 2024г предстои тържествено отбелязване на 80-та годишнина на читалището ,което ще се проведе на 25.05 .2024 в центъра на с. Зарник</w:t>
      </w:r>
    </w:p>
    <w:p w:rsidR="00291F4E" w:rsidRPr="00291F4E" w:rsidRDefault="00291F4E" w:rsidP="002B04A8">
      <w:pPr>
        <w:spacing w:after="160" w:line="259" w:lineRule="auto"/>
        <w:rPr>
          <w:rFonts w:eastAsiaTheme="minorHAnsi"/>
          <w:bCs/>
          <w:color w:val="333333"/>
          <w:lang w:eastAsia="en-US"/>
        </w:rPr>
      </w:pPr>
      <w:r w:rsidRPr="00291F4E">
        <w:rPr>
          <w:rFonts w:eastAsiaTheme="minorHAnsi"/>
          <w:bCs/>
          <w:color w:val="333333"/>
          <w:lang w:eastAsia="en-US"/>
        </w:rPr>
        <w:t>НЧ ”РОДИНА-1941”с. Голеш</w:t>
      </w:r>
    </w:p>
    <w:p w:rsidR="00291F4E" w:rsidRPr="00D10623" w:rsidRDefault="00291F4E" w:rsidP="00291F4E">
      <w:pPr>
        <w:spacing w:after="160" w:line="259" w:lineRule="auto"/>
        <w:rPr>
          <w:rFonts w:eastAsiaTheme="minorHAnsi"/>
          <w:lang w:eastAsia="en-US"/>
        </w:rPr>
      </w:pPr>
      <w:r w:rsidRPr="00291F4E">
        <w:rPr>
          <w:rFonts w:eastAsiaTheme="minorHAnsi"/>
          <w:lang w:eastAsia="en-US"/>
        </w:rPr>
        <w:t>През последните години библиотеката  отчита спад в броя на читателите</w:t>
      </w:r>
      <w:r w:rsidRPr="00291F4E">
        <w:rPr>
          <w:rFonts w:eastAsiaTheme="minorHAnsi"/>
          <w:lang w:val="en-US" w:eastAsia="en-US"/>
        </w:rPr>
        <w:t xml:space="preserve"> </w:t>
      </w:r>
      <w:r w:rsidRPr="00291F4E">
        <w:rPr>
          <w:rFonts w:eastAsiaTheme="minorHAnsi"/>
          <w:lang w:eastAsia="en-US"/>
        </w:rPr>
        <w:t xml:space="preserve">. За  да се противопостави на тази отрицателна тенденция   </w:t>
      </w:r>
      <w:r w:rsidRPr="00291F4E">
        <w:rPr>
          <w:rFonts w:eastAsiaTheme="minorHAnsi"/>
          <w:lang w:val="en-US" w:eastAsia="en-US"/>
        </w:rPr>
        <w:t>реализира различни инициативи</w:t>
      </w:r>
      <w:r w:rsidRPr="00291F4E">
        <w:rPr>
          <w:rFonts w:eastAsiaTheme="minorHAnsi"/>
          <w:lang w:eastAsia="en-US"/>
        </w:rPr>
        <w:t>:</w:t>
      </w:r>
      <w:r w:rsidRPr="00291F4E">
        <w:rPr>
          <w:rFonts w:eastAsiaTheme="minorHAnsi"/>
          <w:lang w:val="en-US" w:eastAsia="en-US"/>
        </w:rPr>
        <w:t xml:space="preserve"> </w:t>
      </w:r>
      <w:r w:rsidRPr="00291F4E">
        <w:rPr>
          <w:rFonts w:eastAsiaTheme="minorHAnsi"/>
          <w:lang w:eastAsia="en-US"/>
        </w:rPr>
        <w:t xml:space="preserve"> Една от тях беше </w:t>
      </w:r>
      <w:r w:rsidRPr="00291F4E">
        <w:rPr>
          <w:rFonts w:eastAsiaTheme="minorHAnsi"/>
          <w:lang w:val="en-US" w:eastAsia="en-US"/>
        </w:rPr>
        <w:t>насочен</w:t>
      </w:r>
      <w:r w:rsidRPr="00291F4E">
        <w:rPr>
          <w:rFonts w:eastAsiaTheme="minorHAnsi"/>
          <w:lang w:eastAsia="en-US"/>
        </w:rPr>
        <w:t xml:space="preserve">а </w:t>
      </w:r>
      <w:r w:rsidRPr="00291F4E">
        <w:rPr>
          <w:rFonts w:eastAsiaTheme="minorHAnsi"/>
          <w:lang w:val="en-US" w:eastAsia="en-US"/>
        </w:rPr>
        <w:t xml:space="preserve"> към най-малките – децата от </w:t>
      </w:r>
      <w:r w:rsidRPr="00291F4E">
        <w:rPr>
          <w:rFonts w:eastAsiaTheme="minorHAnsi"/>
          <w:lang w:eastAsia="en-US"/>
        </w:rPr>
        <w:t>ДГ „Еделвайс”</w:t>
      </w:r>
      <w:r w:rsidR="00D10623">
        <w:rPr>
          <w:rFonts w:eastAsiaTheme="minorHAnsi"/>
          <w:lang w:eastAsia="en-US"/>
        </w:rPr>
        <w:t>,</w:t>
      </w:r>
      <w:r w:rsidRPr="00291F4E">
        <w:rPr>
          <w:rFonts w:eastAsiaTheme="minorHAnsi"/>
          <w:lang w:eastAsia="en-US"/>
        </w:rPr>
        <w:t xml:space="preserve"> които участваха в „Ден на четенето</w:t>
      </w:r>
      <w:r w:rsidR="00D10623">
        <w:rPr>
          <w:rFonts w:eastAsiaTheme="minorHAnsi"/>
          <w:lang w:eastAsia="en-US"/>
        </w:rPr>
        <w:t xml:space="preserve">”  </w:t>
      </w:r>
      <w:r w:rsidRPr="00291F4E">
        <w:rPr>
          <w:rFonts w:eastAsiaTheme="minorHAnsi"/>
          <w:lang w:val="en-US" w:eastAsia="en-US"/>
        </w:rPr>
        <w:t xml:space="preserve">с цел възпитаване </w:t>
      </w:r>
      <w:r w:rsidR="00D10623">
        <w:rPr>
          <w:rFonts w:eastAsiaTheme="minorHAnsi"/>
          <w:lang w:val="en-US" w:eastAsia="en-US"/>
        </w:rPr>
        <w:t>на любов към книгата и четенето</w:t>
      </w:r>
      <w:r w:rsidR="00D10623">
        <w:rPr>
          <w:rFonts w:eastAsiaTheme="minorHAnsi"/>
          <w:lang w:eastAsia="en-US"/>
        </w:rPr>
        <w:t>. Почти по същото време в ОУ „В. Априлов”</w:t>
      </w:r>
      <w:r w:rsidR="00E903CE">
        <w:rPr>
          <w:rFonts w:eastAsiaTheme="minorHAnsi"/>
          <w:lang w:eastAsia="en-US"/>
        </w:rPr>
        <w:t>, с. Голеш се проведе „Ден на грамотността”.</w:t>
      </w:r>
    </w:p>
    <w:p w:rsidR="00291F4E" w:rsidRPr="00291F4E" w:rsidRDefault="00291F4E" w:rsidP="00291F4E">
      <w:pPr>
        <w:spacing w:after="160" w:line="259" w:lineRule="auto"/>
        <w:rPr>
          <w:rFonts w:eastAsiaTheme="minorHAnsi"/>
          <w:lang w:eastAsia="en-US"/>
        </w:rPr>
      </w:pPr>
      <w:r w:rsidRPr="00291F4E">
        <w:rPr>
          <w:rFonts w:eastAsiaTheme="minorHAnsi"/>
          <w:lang w:eastAsia="en-US"/>
        </w:rPr>
        <w:t>Друга такава инициатива , започната през 2023г. е   цялостната инвентаризация на библиотечния фонд с участие на методист от РБ „П. Павлович „гр. Силистра и създаването на електронен дневник на библиотеката.</w:t>
      </w:r>
    </w:p>
    <w:p w:rsidR="00291F4E" w:rsidRPr="00291F4E" w:rsidRDefault="00291F4E" w:rsidP="00291F4E">
      <w:pPr>
        <w:spacing w:after="160" w:line="259" w:lineRule="auto"/>
        <w:rPr>
          <w:rFonts w:eastAsiaTheme="minorHAnsi"/>
          <w:lang w:eastAsia="en-US"/>
        </w:rPr>
      </w:pPr>
      <w:r w:rsidRPr="00291F4E">
        <w:rPr>
          <w:rFonts w:eastAsiaTheme="minorHAnsi"/>
          <w:lang w:eastAsia="en-US"/>
        </w:rPr>
        <w:t xml:space="preserve">Най- мащабната инициатива  за  2023 година е спечеленият  проект за книги по Програма „Българските библиотеки-Съвременни центрове за четене и информираност” на стойност 1117.00 лв .В обособения информационен център в читалището се предоставят редица услуги на населението: копиране, принтиране, изпращане на информация по имейл, сканиране,  изработване на различни видове печатни материали – покани, диплянки, брошури и др.Художествено – творческата  дейност в читалището намира изражение в многобройните участия във Фолклорни събори ,тържествени чествания и празници на самодейните колективи и групи за любителско художествено творчество: Детски танцов състав „Венчета ”; Танцов  състав за турски фолклор  ; Детска вокална група ; група за модерни танци. Едно от най- значимите постижения от работата на читалището несъмнено е проведеният на 27.05.2023 Фолклорен Събор за турски и български фолклор „ Празник в село Голеш“ , в който взеха участие </w:t>
      </w:r>
      <w:r w:rsidR="002B04A8">
        <w:rPr>
          <w:rFonts w:eastAsiaTheme="minorHAnsi"/>
          <w:lang w:eastAsia="en-US"/>
        </w:rPr>
        <w:t>над 50 групи от област Силистра.</w:t>
      </w:r>
    </w:p>
    <w:p w:rsidR="00291F4E" w:rsidRPr="00291F4E" w:rsidRDefault="00291F4E" w:rsidP="00291F4E">
      <w:pPr>
        <w:spacing w:after="160" w:line="259" w:lineRule="auto"/>
        <w:rPr>
          <w:rFonts w:eastAsiaTheme="minorHAnsi"/>
          <w:lang w:eastAsia="en-US"/>
        </w:rPr>
      </w:pPr>
      <w:r w:rsidRPr="00291F4E">
        <w:rPr>
          <w:rFonts w:eastAsiaTheme="minorHAnsi"/>
          <w:lang w:eastAsia="en-US"/>
        </w:rPr>
        <w:t>Наред с постигнатите успехи в дейността на читалището не можем да не споменем и нуждата от подобряване на материално-техническата база и средства ,които да бъдат използвани за ангажирането на професионалисти в работата с децата.</w:t>
      </w:r>
    </w:p>
    <w:p w:rsidR="00291F4E" w:rsidRPr="00291F4E" w:rsidRDefault="00291F4E" w:rsidP="002B04A8">
      <w:pPr>
        <w:spacing w:after="200" w:line="276" w:lineRule="auto"/>
        <w:contextualSpacing/>
        <w:rPr>
          <w:rFonts w:ascii="Arial" w:eastAsiaTheme="minorHAnsi" w:hAnsi="Arial" w:cs="Arial"/>
          <w:sz w:val="28"/>
          <w:szCs w:val="28"/>
          <w:lang w:eastAsia="en-US"/>
        </w:rPr>
      </w:pPr>
    </w:p>
    <w:p w:rsidR="00291F4E" w:rsidRPr="00291F4E" w:rsidRDefault="00291F4E" w:rsidP="00291F4E">
      <w:pPr>
        <w:spacing w:after="160" w:line="259" w:lineRule="auto"/>
        <w:rPr>
          <w:bCs/>
        </w:rPr>
      </w:pPr>
      <w:r w:rsidRPr="00291F4E">
        <w:rPr>
          <w:rFonts w:eastAsiaTheme="minorHAnsi"/>
          <w:lang w:val="en-US" w:eastAsia="en-US"/>
        </w:rPr>
        <w:t xml:space="preserve">НЧ </w:t>
      </w:r>
      <w:r w:rsidRPr="00291F4E">
        <w:rPr>
          <w:rFonts w:eastAsiaTheme="minorHAnsi"/>
          <w:lang w:eastAsia="en-US"/>
        </w:rPr>
        <w:t xml:space="preserve"> </w:t>
      </w:r>
      <w:r w:rsidRPr="00291F4E">
        <w:rPr>
          <w:rFonts w:eastAsiaTheme="minorHAnsi"/>
          <w:lang w:val="en-US" w:eastAsia="en-US"/>
        </w:rPr>
        <w:t xml:space="preserve">”Стефан Караджа – 1943” </w:t>
      </w:r>
      <w:r w:rsidR="00E903CE">
        <w:rPr>
          <w:rFonts w:eastAsiaTheme="minorHAnsi"/>
          <w:bCs/>
          <w:lang w:val="ru-RU" w:eastAsia="en-US"/>
        </w:rPr>
        <w:t>- с. Средище е</w:t>
      </w:r>
      <w:r w:rsidRPr="00291F4E">
        <w:rPr>
          <w:rFonts w:eastAsiaTheme="minorHAnsi"/>
          <w:lang w:val="en-US" w:eastAsia="en-US"/>
        </w:rPr>
        <w:t xml:space="preserve"> културна институция с мисия за съхранение и развитие на традиционните ценности на населението.</w:t>
      </w:r>
      <w:r w:rsidRPr="00291F4E">
        <w:rPr>
          <w:rFonts w:eastAsiaTheme="minorHAnsi"/>
          <w:lang w:eastAsia="en-US"/>
        </w:rPr>
        <w:t xml:space="preserve"> Доказателство за отговорността и сериозността</w:t>
      </w:r>
      <w:r w:rsidR="000221C6">
        <w:rPr>
          <w:rFonts w:eastAsiaTheme="minorHAnsi"/>
          <w:lang w:eastAsia="en-US"/>
        </w:rPr>
        <w:t>,</w:t>
      </w:r>
      <w:r w:rsidRPr="00291F4E">
        <w:rPr>
          <w:rFonts w:eastAsiaTheme="minorHAnsi"/>
          <w:lang w:eastAsia="en-US"/>
        </w:rPr>
        <w:t xml:space="preserve"> с която </w:t>
      </w:r>
      <w:r w:rsidR="000221C6">
        <w:rPr>
          <w:rFonts w:eastAsiaTheme="minorHAnsi"/>
          <w:lang w:eastAsia="en-US"/>
        </w:rPr>
        <w:t>се изпълнява</w:t>
      </w:r>
      <w:r w:rsidRPr="00291F4E">
        <w:rPr>
          <w:rFonts w:eastAsiaTheme="minorHAnsi"/>
          <w:lang w:eastAsia="en-US"/>
        </w:rPr>
        <w:t xml:space="preserve"> тази мисия е обширният списък от проведени мероприятия и многобройните участия в  най-различни форуми и чествания на действащите фолклорни групи на територията на с. Средище:</w:t>
      </w:r>
      <w:r w:rsidRPr="00291F4E">
        <w:rPr>
          <w:b/>
          <w:bCs/>
          <w:u w:val="single"/>
        </w:rPr>
        <w:t xml:space="preserve"> </w:t>
      </w:r>
      <w:r w:rsidRPr="00291F4E">
        <w:rPr>
          <w:bCs/>
        </w:rPr>
        <w:t>„Фолклорна група „Сребърни звънци“ и</w:t>
      </w:r>
      <w:r w:rsidR="002B04A8">
        <w:rPr>
          <w:bCs/>
        </w:rPr>
        <w:t xml:space="preserve"> </w:t>
      </w:r>
      <w:r w:rsidRPr="00291F4E">
        <w:rPr>
          <w:bCs/>
        </w:rPr>
        <w:t>Детска фолклорна група „Шарена черга”</w:t>
      </w:r>
    </w:p>
    <w:p w:rsidR="00291F4E" w:rsidRPr="00291F4E" w:rsidRDefault="00291F4E" w:rsidP="00291F4E">
      <w:pPr>
        <w:spacing w:after="160" w:line="259" w:lineRule="auto"/>
        <w:rPr>
          <w:bCs/>
        </w:rPr>
      </w:pPr>
      <w:r w:rsidRPr="00291F4E">
        <w:rPr>
          <w:bCs/>
        </w:rPr>
        <w:t xml:space="preserve">Пълният списък на културно-масовите участия е отразен в годишният отчет на Настоятелството, тук ще споменем само няколко от тях: отбелязването на деня на самодееца на 01.03.2023, международния ден на ромите на 08.04.2023, участието в „Събор на българския и турски фолклор“ с .Голеш на 29.05.2023, Фолклорния Дунавски събор в с </w:t>
      </w:r>
      <w:r w:rsidRPr="00291F4E">
        <w:rPr>
          <w:bCs/>
        </w:rPr>
        <w:lastRenderedPageBreak/>
        <w:t>.Гарван, община Ситово на 03.06.2023, Фолклорния събор „Край чешмата под върбата“ с. Кайнарджа на 11.06.2023. На 22-я Национален музикален фестивал „ Фолклорен изгрев“ в гр. Китен, обл. Бургас , Фолклорна група „ Сребърни звънци “ завоюва 1-во място с грамота и златна статуетка.</w:t>
      </w:r>
    </w:p>
    <w:p w:rsidR="00291F4E" w:rsidRPr="00291F4E" w:rsidRDefault="00291F4E" w:rsidP="00291F4E">
      <w:pPr>
        <w:spacing w:after="160" w:line="259" w:lineRule="auto"/>
        <w:rPr>
          <w:bCs/>
        </w:rPr>
      </w:pPr>
      <w:r w:rsidRPr="00291F4E">
        <w:rPr>
          <w:bCs/>
        </w:rPr>
        <w:t>Трябва да споменем и участието на самодейците от с. Средище в посрещането на групата от участници  по  програмата на Еразмус по проекта „ Европейска мрежа на места на мира“ в с. Кайнарджа -домакин на тази среща с участие на представители от няколко европейски държави.</w:t>
      </w:r>
    </w:p>
    <w:p w:rsidR="00291F4E" w:rsidRPr="006F6818" w:rsidRDefault="00291F4E" w:rsidP="006F0B07">
      <w:pPr>
        <w:spacing w:after="160" w:line="259" w:lineRule="auto"/>
        <w:rPr>
          <w:rFonts w:eastAsiaTheme="minorHAnsi"/>
          <w:lang w:eastAsia="en-US"/>
        </w:rPr>
      </w:pPr>
      <w:r w:rsidRPr="006F6818">
        <w:rPr>
          <w:rFonts w:eastAsiaTheme="minorHAnsi"/>
          <w:sz w:val="28"/>
          <w:szCs w:val="28"/>
          <w:lang w:eastAsia="en-US"/>
        </w:rPr>
        <w:t>НЧ „Отец Паисий-1942“ с. Кайнарджа</w:t>
      </w:r>
      <w:r w:rsidR="006F0B07" w:rsidRPr="006F6818">
        <w:rPr>
          <w:rFonts w:eastAsiaTheme="minorHAnsi"/>
          <w:lang w:val="en-US" w:eastAsia="en-US"/>
        </w:rPr>
        <w:t xml:space="preserve"> </w:t>
      </w:r>
      <w:r w:rsidR="006F0B07" w:rsidRPr="006F6818">
        <w:rPr>
          <w:rFonts w:eastAsiaTheme="minorHAnsi"/>
          <w:lang w:eastAsia="en-US"/>
        </w:rPr>
        <w:t xml:space="preserve">е </w:t>
      </w:r>
      <w:r w:rsidR="006F0B07" w:rsidRPr="006F6818">
        <w:rPr>
          <w:rFonts w:eastAsiaTheme="minorHAnsi"/>
          <w:lang w:val="en-US" w:eastAsia="en-US"/>
        </w:rPr>
        <w:t>културна институция с мисия за съхранение</w:t>
      </w:r>
      <w:r w:rsidR="006F0B07" w:rsidRPr="006F6818">
        <w:rPr>
          <w:rFonts w:eastAsiaTheme="minorHAnsi"/>
          <w:lang w:eastAsia="en-US"/>
        </w:rPr>
        <w:t xml:space="preserve"> на автентичността на обичаите. Във всички свои дейности и прояви се водят от това начало. Доказателство за това са следните</w:t>
      </w:r>
      <w:r w:rsidR="009F1366">
        <w:rPr>
          <w:rFonts w:eastAsiaTheme="minorHAnsi"/>
          <w:lang w:eastAsia="en-US"/>
        </w:rPr>
        <w:t xml:space="preserve"> дейности и</w:t>
      </w:r>
      <w:r w:rsidR="006F0B07" w:rsidRPr="006F6818">
        <w:rPr>
          <w:rFonts w:eastAsiaTheme="minorHAnsi"/>
          <w:lang w:eastAsia="en-US"/>
        </w:rPr>
        <w:t xml:space="preserve"> постигнати успехи:</w:t>
      </w:r>
    </w:p>
    <w:p w:rsidR="004B35D9" w:rsidRPr="006F6818" w:rsidRDefault="004B35D9" w:rsidP="00C9702E">
      <w:pPr>
        <w:numPr>
          <w:ilvl w:val="0"/>
          <w:numId w:val="3"/>
        </w:numPr>
        <w:tabs>
          <w:tab w:val="left" w:pos="154"/>
        </w:tabs>
        <w:spacing w:after="160" w:line="259" w:lineRule="auto"/>
        <w:contextualSpacing/>
        <w:jc w:val="both"/>
        <w:rPr>
          <w:lang w:val="en-US" w:eastAsia="en-US"/>
        </w:rPr>
      </w:pPr>
      <w:r w:rsidRPr="006F6818">
        <w:rPr>
          <w:lang w:val="en-US" w:eastAsia="en-US"/>
        </w:rPr>
        <w:t>Празник на Кукерите – 26.02.</w:t>
      </w:r>
      <w:r w:rsidR="00C9702E" w:rsidRPr="006F6818">
        <w:rPr>
          <w:lang w:eastAsia="en-US"/>
        </w:rPr>
        <w:t>2023 г.</w:t>
      </w:r>
    </w:p>
    <w:p w:rsidR="004B35D9" w:rsidRPr="006F6818" w:rsidRDefault="004B35D9" w:rsidP="004B35D9">
      <w:pPr>
        <w:numPr>
          <w:ilvl w:val="0"/>
          <w:numId w:val="3"/>
        </w:numPr>
        <w:tabs>
          <w:tab w:val="left" w:pos="154"/>
        </w:tabs>
        <w:spacing w:after="160" w:line="259" w:lineRule="auto"/>
        <w:contextualSpacing/>
        <w:jc w:val="both"/>
        <w:rPr>
          <w:lang w:val="en-US" w:eastAsia="en-US"/>
        </w:rPr>
      </w:pPr>
      <w:r w:rsidRPr="006F6818">
        <w:rPr>
          <w:rFonts w:eastAsiaTheme="minorHAnsi"/>
          <w:lang w:val="en-US" w:eastAsia="en-US"/>
        </w:rPr>
        <w:t>Участие на Кукерската група в XVI Национален фестивал на кукерите Калипетрово 2023, с. Калипетрово – 25.03.</w:t>
      </w:r>
      <w:r w:rsidR="00C9702E" w:rsidRPr="006F6818">
        <w:rPr>
          <w:rFonts w:eastAsiaTheme="minorHAnsi"/>
          <w:lang w:eastAsia="en-US"/>
        </w:rPr>
        <w:t>2023 г.</w:t>
      </w:r>
    </w:p>
    <w:p w:rsidR="004B35D9" w:rsidRPr="004B35D9" w:rsidRDefault="004B35D9" w:rsidP="004B35D9">
      <w:pPr>
        <w:numPr>
          <w:ilvl w:val="0"/>
          <w:numId w:val="4"/>
        </w:numPr>
        <w:spacing w:after="200" w:line="276" w:lineRule="auto"/>
        <w:contextualSpacing/>
        <w:rPr>
          <w:rFonts w:ascii="Calibri" w:eastAsiaTheme="minorHAnsi" w:hAnsi="Calibri"/>
          <w:szCs w:val="22"/>
          <w:lang w:eastAsia="en-US"/>
        </w:rPr>
      </w:pPr>
      <w:r w:rsidRPr="006F6818">
        <w:rPr>
          <w:rFonts w:eastAsiaTheme="minorHAnsi"/>
          <w:b/>
          <w:lang w:eastAsia="en-US"/>
        </w:rPr>
        <w:t>Награда за спазена автентичност</w:t>
      </w:r>
    </w:p>
    <w:p w:rsidR="004B35D9" w:rsidRPr="006F6818" w:rsidRDefault="004B35D9" w:rsidP="00C9702E">
      <w:pPr>
        <w:numPr>
          <w:ilvl w:val="0"/>
          <w:numId w:val="4"/>
        </w:numPr>
        <w:tabs>
          <w:tab w:val="left" w:pos="154"/>
        </w:tabs>
        <w:spacing w:after="160" w:line="259" w:lineRule="auto"/>
        <w:contextualSpacing/>
        <w:jc w:val="both"/>
        <w:rPr>
          <w:lang w:val="en-US" w:eastAsia="en-US"/>
        </w:rPr>
      </w:pPr>
      <w:r w:rsidRPr="006F6818">
        <w:rPr>
          <w:lang w:val="en-US" w:eastAsia="en-US"/>
        </w:rPr>
        <w:t>Участие на ВГ „Перуника“, ВГ „Войновка“, КНХ „Извор“ и Кукерска група  в                   11 Национален фолклорен конкурс „Заблеяло ми агънце“, гр. Лясковец,                     обл. В. Търново -7-8. 05.</w:t>
      </w:r>
      <w:r w:rsidR="00C9702E" w:rsidRPr="006F6818">
        <w:rPr>
          <w:lang w:eastAsia="en-US"/>
        </w:rPr>
        <w:t>2023 г.</w:t>
      </w:r>
    </w:p>
    <w:p w:rsidR="00AA634E" w:rsidRPr="006F6818" w:rsidRDefault="004B35D9" w:rsidP="00AA634E">
      <w:pPr>
        <w:numPr>
          <w:ilvl w:val="0"/>
          <w:numId w:val="4"/>
        </w:numPr>
        <w:spacing w:after="200" w:line="276" w:lineRule="auto"/>
        <w:contextualSpacing/>
        <w:rPr>
          <w:rFonts w:eastAsiaTheme="minorHAnsi"/>
          <w:lang w:eastAsia="en-US"/>
        </w:rPr>
      </w:pPr>
      <w:r w:rsidRPr="006F6818">
        <w:rPr>
          <w:rFonts w:eastAsiaTheme="minorHAnsi"/>
          <w:lang w:eastAsia="en-US"/>
        </w:rPr>
        <w:t>Първа награда за КНХ „Извор“ – раздел Танцово изкуство;</w:t>
      </w:r>
    </w:p>
    <w:p w:rsidR="004B35D9" w:rsidRPr="006F6818" w:rsidRDefault="004B35D9" w:rsidP="004B35D9">
      <w:pPr>
        <w:numPr>
          <w:ilvl w:val="0"/>
          <w:numId w:val="4"/>
        </w:numPr>
        <w:spacing w:after="200" w:line="276" w:lineRule="auto"/>
        <w:contextualSpacing/>
        <w:rPr>
          <w:rFonts w:eastAsiaTheme="minorHAnsi"/>
          <w:lang w:eastAsia="en-US"/>
        </w:rPr>
      </w:pPr>
      <w:r w:rsidRPr="006F6818">
        <w:rPr>
          <w:rFonts w:eastAsiaTheme="minorHAnsi"/>
          <w:lang w:eastAsia="en-US"/>
        </w:rPr>
        <w:t>Втора награда за ВГ „Перуника“- раздел Народно пеене;</w:t>
      </w:r>
    </w:p>
    <w:p w:rsidR="004B35D9" w:rsidRPr="006F6818" w:rsidRDefault="004B35D9" w:rsidP="004B35D9">
      <w:pPr>
        <w:numPr>
          <w:ilvl w:val="0"/>
          <w:numId w:val="4"/>
        </w:numPr>
        <w:spacing w:after="200" w:line="276" w:lineRule="auto"/>
        <w:contextualSpacing/>
        <w:rPr>
          <w:rFonts w:eastAsiaTheme="minorHAnsi"/>
          <w:lang w:eastAsia="en-US"/>
        </w:rPr>
      </w:pPr>
      <w:r w:rsidRPr="006F6818">
        <w:rPr>
          <w:rFonts w:eastAsiaTheme="minorHAnsi"/>
          <w:lang w:eastAsia="en-US"/>
        </w:rPr>
        <w:t>Трета награда за ВГ „Войновка – раздел Народно пеене;</w:t>
      </w:r>
    </w:p>
    <w:p w:rsidR="004B35D9" w:rsidRPr="006F6818" w:rsidRDefault="004B35D9" w:rsidP="004B35D9">
      <w:pPr>
        <w:numPr>
          <w:ilvl w:val="0"/>
          <w:numId w:val="4"/>
        </w:numPr>
        <w:spacing w:after="200" w:line="276" w:lineRule="auto"/>
        <w:contextualSpacing/>
        <w:rPr>
          <w:rFonts w:eastAsiaTheme="minorHAnsi"/>
          <w:lang w:eastAsia="en-US"/>
        </w:rPr>
      </w:pPr>
      <w:r w:rsidRPr="006F6818">
        <w:rPr>
          <w:rFonts w:eastAsiaTheme="minorHAnsi"/>
          <w:lang w:eastAsia="en-US"/>
        </w:rPr>
        <w:t>Трета награда за Кукерска група – раздел Танцово изкуство, категория Обичаи и обреди.</w:t>
      </w:r>
    </w:p>
    <w:p w:rsidR="004B35D9" w:rsidRPr="006F6818" w:rsidRDefault="004B35D9" w:rsidP="00AA634E">
      <w:pPr>
        <w:pStyle w:val="a5"/>
        <w:numPr>
          <w:ilvl w:val="0"/>
          <w:numId w:val="3"/>
        </w:numPr>
        <w:tabs>
          <w:tab w:val="left" w:pos="4292"/>
        </w:tabs>
        <w:spacing w:after="160" w:line="259" w:lineRule="auto"/>
        <w:jc w:val="both"/>
        <w:rPr>
          <w:lang w:val="en-US" w:eastAsia="en-US"/>
        </w:rPr>
      </w:pPr>
      <w:r w:rsidRPr="006F6818">
        <w:rPr>
          <w:lang w:val="en-US" w:eastAsia="en-US"/>
        </w:rPr>
        <w:t>Фолклорен събор „Край чешмата под върбата“- 11.06.</w:t>
      </w:r>
      <w:r w:rsidR="00C9702E" w:rsidRPr="006F6818">
        <w:rPr>
          <w:lang w:eastAsia="en-US"/>
        </w:rPr>
        <w:t>2023</w:t>
      </w:r>
      <w:r w:rsidR="00AA634E" w:rsidRPr="006F6818">
        <w:rPr>
          <w:lang w:eastAsia="en-US"/>
        </w:rPr>
        <w:t xml:space="preserve"> г.;</w:t>
      </w:r>
    </w:p>
    <w:p w:rsidR="00AA634E" w:rsidRPr="006F6818" w:rsidRDefault="00AA634E" w:rsidP="00AA634E">
      <w:pPr>
        <w:pStyle w:val="a5"/>
        <w:numPr>
          <w:ilvl w:val="0"/>
          <w:numId w:val="3"/>
        </w:numPr>
        <w:tabs>
          <w:tab w:val="left" w:pos="4292"/>
        </w:tabs>
        <w:spacing w:after="160" w:line="259" w:lineRule="auto"/>
        <w:jc w:val="both"/>
        <w:rPr>
          <w:lang w:val="en-US" w:eastAsia="en-US"/>
        </w:rPr>
      </w:pPr>
      <w:r w:rsidRPr="006F6818">
        <w:rPr>
          <w:lang w:eastAsia="en-US"/>
        </w:rPr>
        <w:t>Лятна библиотека;</w:t>
      </w:r>
    </w:p>
    <w:p w:rsidR="00AA634E" w:rsidRPr="009F1366" w:rsidRDefault="004B35D9" w:rsidP="00AA634E">
      <w:pPr>
        <w:pStyle w:val="a5"/>
        <w:numPr>
          <w:ilvl w:val="0"/>
          <w:numId w:val="3"/>
        </w:numPr>
        <w:spacing w:after="200" w:line="276" w:lineRule="auto"/>
        <w:rPr>
          <w:rFonts w:eastAsiaTheme="minorHAnsi"/>
          <w:lang w:eastAsia="en-US"/>
        </w:rPr>
      </w:pPr>
      <w:r w:rsidRPr="006F6818">
        <w:rPr>
          <w:lang w:val="en-US" w:eastAsia="en-US"/>
        </w:rPr>
        <w:t>Участие на ВГ „Войновка“ в 21 Национален фестивал „Искри от миналото – Априлци 2023“, гр . Априлци, обл. Ловеч – 29 – 30.07.</w:t>
      </w:r>
      <w:r w:rsidR="00C9702E" w:rsidRPr="006F6818">
        <w:rPr>
          <w:lang w:eastAsia="en-US"/>
        </w:rPr>
        <w:t>2023 г.</w:t>
      </w:r>
      <w:r w:rsidR="00AA634E" w:rsidRPr="006F6818">
        <w:rPr>
          <w:lang w:eastAsia="en-US"/>
        </w:rPr>
        <w:t xml:space="preserve"> -</w:t>
      </w:r>
      <w:r w:rsidR="00AA634E" w:rsidRPr="009F1366">
        <w:rPr>
          <w:lang w:eastAsia="en-US"/>
        </w:rPr>
        <w:t xml:space="preserve"> </w:t>
      </w:r>
      <w:r w:rsidR="009F1366">
        <w:rPr>
          <w:rFonts w:eastAsiaTheme="minorHAnsi"/>
          <w:lang w:eastAsia="en-US"/>
        </w:rPr>
        <w:t>п</w:t>
      </w:r>
      <w:r w:rsidR="00AA634E" w:rsidRPr="009F1366">
        <w:rPr>
          <w:rFonts w:eastAsiaTheme="minorHAnsi"/>
          <w:lang w:eastAsia="en-US"/>
        </w:rPr>
        <w:t>ърво</w:t>
      </w:r>
      <w:r w:rsidR="00AA634E" w:rsidRPr="006F6818">
        <w:rPr>
          <w:rFonts w:eastAsiaTheme="minorHAnsi"/>
          <w:b/>
          <w:lang w:eastAsia="en-US"/>
        </w:rPr>
        <w:t xml:space="preserve"> </w:t>
      </w:r>
      <w:r w:rsidR="009F1366">
        <w:rPr>
          <w:rFonts w:eastAsiaTheme="minorHAnsi"/>
          <w:lang w:eastAsia="en-US"/>
        </w:rPr>
        <w:t>място в</w:t>
      </w:r>
      <w:r w:rsidR="00AA634E" w:rsidRPr="009F1366">
        <w:rPr>
          <w:rFonts w:eastAsiaTheme="minorHAnsi"/>
          <w:lang w:eastAsia="en-US"/>
        </w:rPr>
        <w:t xml:space="preserve"> раздел Певческо изкуство.</w:t>
      </w:r>
    </w:p>
    <w:p w:rsidR="004B35D9" w:rsidRPr="00AA634E" w:rsidRDefault="004B35D9" w:rsidP="00AA634E">
      <w:pPr>
        <w:numPr>
          <w:ilvl w:val="0"/>
          <w:numId w:val="3"/>
        </w:numPr>
        <w:tabs>
          <w:tab w:val="left" w:pos="4292"/>
        </w:tabs>
        <w:spacing w:after="160" w:line="259" w:lineRule="auto"/>
        <w:contextualSpacing/>
        <w:jc w:val="both"/>
        <w:rPr>
          <w:rFonts w:asciiTheme="minorHAnsi" w:hAnsiTheme="minorHAnsi" w:cstheme="minorHAnsi"/>
          <w:sz w:val="28"/>
          <w:szCs w:val="28"/>
          <w:lang w:val="en-US" w:eastAsia="en-US"/>
        </w:rPr>
      </w:pPr>
      <w:r w:rsidRPr="004B35D9">
        <w:rPr>
          <w:rFonts w:asciiTheme="minorHAnsi" w:hAnsiTheme="minorHAnsi" w:cstheme="minorHAnsi"/>
          <w:sz w:val="28"/>
          <w:szCs w:val="28"/>
          <w:lang w:val="en-US" w:eastAsia="en-US"/>
        </w:rPr>
        <w:t xml:space="preserve">Участие на ВГ „Перуника“, КНХ „Извор“ и Кукерска група в Трети румъно –български фолклорен фестивал „Цветни ритми“, гр. Тулча, Румъния -23 -24.09. </w:t>
      </w:r>
    </w:p>
    <w:p w:rsidR="004B35D9" w:rsidRDefault="00AA634E" w:rsidP="004B35D9">
      <w:pPr>
        <w:numPr>
          <w:ilvl w:val="0"/>
          <w:numId w:val="4"/>
        </w:numPr>
        <w:spacing w:after="200" w:line="276" w:lineRule="auto"/>
        <w:contextualSpacing/>
        <w:rPr>
          <w:rFonts w:ascii="Calibri" w:eastAsiaTheme="minorHAnsi" w:hAnsi="Calibri"/>
          <w:b/>
          <w:szCs w:val="22"/>
          <w:lang w:eastAsia="en-US"/>
        </w:rPr>
      </w:pPr>
      <w:r>
        <w:rPr>
          <w:rFonts w:ascii="Calibri" w:eastAsiaTheme="minorHAnsi" w:hAnsi="Calibri"/>
          <w:b/>
          <w:szCs w:val="22"/>
          <w:lang w:eastAsia="en-US"/>
        </w:rPr>
        <w:t>Лятна библиотека: 15.06.2023 – 15.09.2023 г</w:t>
      </w:r>
    </w:p>
    <w:p w:rsidR="009F1366" w:rsidRPr="00F92CF0" w:rsidRDefault="009F1366" w:rsidP="009F1366">
      <w:pPr>
        <w:pStyle w:val="a5"/>
        <w:numPr>
          <w:ilvl w:val="0"/>
          <w:numId w:val="3"/>
        </w:numPr>
        <w:tabs>
          <w:tab w:val="left" w:pos="4292"/>
        </w:tabs>
        <w:spacing w:after="160" w:line="259" w:lineRule="auto"/>
        <w:jc w:val="both"/>
        <w:rPr>
          <w:rFonts w:asciiTheme="minorHAnsi" w:hAnsiTheme="minorHAnsi" w:cstheme="minorHAnsi"/>
          <w:sz w:val="28"/>
          <w:szCs w:val="28"/>
          <w:lang w:val="en-US" w:eastAsia="en-US"/>
        </w:rPr>
      </w:pPr>
      <w:r w:rsidRPr="006F6818">
        <w:rPr>
          <w:lang w:eastAsia="en-US"/>
        </w:rPr>
        <w:t>Коледари 24.12.- 25.12.2023 г</w:t>
      </w:r>
      <w:r w:rsidRPr="009F1366">
        <w:rPr>
          <w:rFonts w:asciiTheme="minorHAnsi" w:hAnsiTheme="minorHAnsi" w:cstheme="minorHAnsi"/>
          <w:sz w:val="28"/>
          <w:szCs w:val="28"/>
          <w:lang w:eastAsia="en-US"/>
        </w:rPr>
        <w:t>.</w:t>
      </w:r>
    </w:p>
    <w:p w:rsidR="004B35D9" w:rsidRPr="002056A7" w:rsidRDefault="002056A7" w:rsidP="002056A7">
      <w:pPr>
        <w:pStyle w:val="a5"/>
        <w:tabs>
          <w:tab w:val="left" w:pos="4292"/>
        </w:tabs>
        <w:spacing w:after="160" w:line="259" w:lineRule="auto"/>
        <w:ind w:left="643"/>
        <w:jc w:val="both"/>
        <w:rPr>
          <w:rFonts w:asciiTheme="minorHAnsi" w:hAnsiTheme="minorHAnsi" w:cstheme="minorHAnsi"/>
          <w:sz w:val="28"/>
          <w:szCs w:val="28"/>
          <w:lang w:val="en-US" w:eastAsia="en-US"/>
        </w:rPr>
      </w:pPr>
      <w:r w:rsidRPr="002056A7">
        <w:rPr>
          <w:lang w:eastAsia="en-US"/>
        </w:rPr>
        <w:t xml:space="preserve">            </w:t>
      </w:r>
      <w:r w:rsidR="00F92CF0" w:rsidRPr="002056A7">
        <w:rPr>
          <w:lang w:eastAsia="en-US"/>
        </w:rPr>
        <w:t xml:space="preserve">Освен изброените по-горе те осъществяват непрекъснат контакт и съвместни дейности с  децата и учениците отпобразователните институции в с. Кайнарджа, което помага за формиране на личностното развитие на младото поколение, съхраняване на спомени и традиции и подготовка на продължението за тези </w:t>
      </w:r>
      <w:r w:rsidR="00F92CF0" w:rsidRPr="002056A7">
        <w:rPr>
          <w:lang w:eastAsia="en-US"/>
        </w:rPr>
        <w:lastRenderedPageBreak/>
        <w:t>дейности в бъдеще. Тази положителна тенденция се откроява в съвместната работа между читалищата и образователните институции в цялата община Кайнарджа</w:t>
      </w:r>
      <w:r w:rsidR="00F92CF0">
        <w:rPr>
          <w:rFonts w:asciiTheme="minorHAnsi" w:hAnsiTheme="minorHAnsi" w:cstheme="minorHAnsi"/>
          <w:sz w:val="28"/>
          <w:szCs w:val="28"/>
          <w:lang w:eastAsia="en-US"/>
        </w:rPr>
        <w:t>.</w:t>
      </w:r>
      <w:r>
        <w:rPr>
          <w:rFonts w:asciiTheme="minorHAnsi" w:hAnsiTheme="minorHAnsi" w:cstheme="minorHAnsi"/>
          <w:sz w:val="28"/>
          <w:szCs w:val="28"/>
          <w:lang w:eastAsia="en-US"/>
        </w:rPr>
        <w:t xml:space="preserve"> </w:t>
      </w:r>
    </w:p>
    <w:p w:rsidR="00FC7ED8" w:rsidRPr="00FC7ED8" w:rsidRDefault="00FC7ED8" w:rsidP="00FC7ED8">
      <w:pPr>
        <w:widowControl w:val="0"/>
        <w:tabs>
          <w:tab w:val="left" w:pos="851"/>
          <w:tab w:val="left" w:pos="8080"/>
        </w:tabs>
        <w:autoSpaceDE w:val="0"/>
        <w:autoSpaceDN w:val="0"/>
        <w:ind w:firstLine="709"/>
        <w:jc w:val="both"/>
      </w:pPr>
      <w:r w:rsidRPr="00FC7ED8">
        <w:rPr>
          <w:b/>
        </w:rPr>
        <w:t>III. Действията, предприети от компетентните органи с цел осигуряване на ефективност и ефикасност при изпълнението на плана за интегрирано развитие на общината.</w:t>
      </w:r>
    </w:p>
    <w:p w:rsidR="00FC7ED8" w:rsidRPr="00FC7ED8" w:rsidRDefault="00FC7ED8" w:rsidP="00FC7ED8">
      <w:pPr>
        <w:widowControl w:val="0"/>
        <w:tabs>
          <w:tab w:val="left" w:pos="851"/>
          <w:tab w:val="left" w:pos="8080"/>
        </w:tabs>
        <w:autoSpaceDE w:val="0"/>
        <w:autoSpaceDN w:val="0"/>
        <w:ind w:firstLine="709"/>
        <w:jc w:val="both"/>
      </w:pPr>
      <w:r w:rsidRPr="00FC7ED8">
        <w:t xml:space="preserve"> Системата от индикатори за наблюдение служи за наблюдение изпълнението на ПИРО и за оценка на постигната ефективност и ефикасност. Системата отчита напредъка и степента на постигане на целите и приоритетите за развитие на общината по физически и финансови характеристики въз основа на събраната обективна информация и данни. Индикаторите за продукт се отнасят до наблюдението и оценката на изпълнението на определените приоритети и/или мерки за развитие на общината. По някои от приоритетите, те могат да се отнасят за предвидени или изпълнявани конкретни проекти с важно значение за развитието на територията на общината. Дефинираните индикатори са количествено измерими и осигуряват обективност по отношение на оценките и изводите за конкретните постижения при реализацията на приоритетите и постигнатото пряко въздействие в съответната област.</w:t>
      </w:r>
    </w:p>
    <w:p w:rsidR="00FC7ED8" w:rsidRPr="00FC7ED8" w:rsidRDefault="00FC7ED8" w:rsidP="00FC7ED8">
      <w:pPr>
        <w:widowControl w:val="0"/>
        <w:tabs>
          <w:tab w:val="left" w:pos="851"/>
          <w:tab w:val="left" w:pos="8080"/>
        </w:tabs>
        <w:autoSpaceDE w:val="0"/>
        <w:autoSpaceDN w:val="0"/>
        <w:ind w:firstLine="709"/>
        <w:jc w:val="both"/>
      </w:pPr>
      <w:r w:rsidRPr="00FC7ED8">
        <w:t>За да се намали безработицата, в координация с ДБТ – Силистра към АЗ са осъществени няколко проекта по Национални</w:t>
      </w:r>
      <w:r w:rsidR="002056A7">
        <w:t xml:space="preserve"> програми на обща стойност над 4</w:t>
      </w:r>
      <w:r w:rsidRPr="00FC7ED8">
        <w:t>00 000,00 лв., а чрез участие в Европейски проект</w:t>
      </w:r>
      <w:r w:rsidR="00FC72AD">
        <w:t>и като „Приеми ме“,</w:t>
      </w:r>
      <w:r w:rsidRPr="00FC7ED8">
        <w:t xml:space="preserve"> и други са реализирани социални мерки и мерки за намаляване на безработицата и закрила на деца в р</w:t>
      </w:r>
      <w:r w:rsidR="00FC72AD">
        <w:t>иск като общата стойност за 2023</w:t>
      </w:r>
      <w:r w:rsidR="002056A7">
        <w:t xml:space="preserve"> година на тези проекти е над 45</w:t>
      </w:r>
      <w:r w:rsidRPr="00FC7ED8">
        <w:t>0 000,00 лева.</w:t>
      </w:r>
    </w:p>
    <w:p w:rsidR="00FC7ED8" w:rsidRPr="00FC7ED8" w:rsidRDefault="00FC7ED8" w:rsidP="00FC7ED8">
      <w:pPr>
        <w:widowControl w:val="0"/>
        <w:tabs>
          <w:tab w:val="left" w:pos="851"/>
          <w:tab w:val="left" w:pos="8080"/>
        </w:tabs>
        <w:autoSpaceDE w:val="0"/>
        <w:autoSpaceDN w:val="0"/>
        <w:ind w:firstLine="709"/>
        <w:jc w:val="both"/>
      </w:pPr>
    </w:p>
    <w:p w:rsidR="00FC7ED8" w:rsidRPr="00FC7ED8" w:rsidRDefault="00FC7ED8" w:rsidP="00FC7ED8">
      <w:pPr>
        <w:widowControl w:val="0"/>
        <w:tabs>
          <w:tab w:val="left" w:pos="851"/>
          <w:tab w:val="left" w:pos="8080"/>
        </w:tabs>
        <w:autoSpaceDE w:val="0"/>
        <w:autoSpaceDN w:val="0"/>
        <w:ind w:firstLine="709"/>
        <w:jc w:val="both"/>
        <w:rPr>
          <w:b/>
        </w:rPr>
      </w:pPr>
      <w:r w:rsidRPr="00FC7ED8">
        <w:rPr>
          <w:b/>
        </w:rPr>
        <w:t>Приоритет 1. Подкрепа за устойчиво икономическо развитие, внедряване на иновации и нови технологии</w:t>
      </w:r>
    </w:p>
    <w:p w:rsidR="00FC7ED8" w:rsidRPr="00FC7ED8" w:rsidRDefault="00FC7ED8" w:rsidP="00FC7ED8">
      <w:pPr>
        <w:tabs>
          <w:tab w:val="left" w:pos="851"/>
        </w:tabs>
        <w:ind w:firstLine="709"/>
        <w:contextualSpacing/>
        <w:jc w:val="both"/>
        <w:rPr>
          <w:b/>
          <w:i/>
        </w:rPr>
      </w:pPr>
      <w:r w:rsidRPr="00FC7ED8">
        <w:rPr>
          <w:b/>
          <w:i/>
        </w:rPr>
        <w:t>Мярка: Развитие на прецизно земеделие и свързани производства</w:t>
      </w:r>
    </w:p>
    <w:p w:rsidR="00FC7ED8" w:rsidRPr="00FC7ED8" w:rsidRDefault="00FC7ED8" w:rsidP="00FC7ED8">
      <w:pPr>
        <w:tabs>
          <w:tab w:val="left" w:pos="851"/>
        </w:tabs>
        <w:ind w:firstLine="709"/>
        <w:contextualSpacing/>
        <w:jc w:val="both"/>
      </w:pPr>
      <w:r w:rsidRPr="00FC7ED8">
        <w:t>Обучения на земеделските стопани, изготвяне на информационни материали за популяризиране на видовете земеделие, които допринасят за опазване на околната среда и нейните компоненти, разкриват работни места за квалифицирани кадри, съдействие за извеждане на презентационни и демонстрационни мероприятия, касаещи въвеждане на нови технологии и процеси в този сектор.</w:t>
      </w:r>
    </w:p>
    <w:p w:rsidR="00FC7ED8" w:rsidRPr="00FC7ED8" w:rsidRDefault="00FC7ED8" w:rsidP="00FC7ED8">
      <w:pPr>
        <w:tabs>
          <w:tab w:val="left" w:pos="851"/>
        </w:tabs>
        <w:ind w:firstLine="709"/>
        <w:contextualSpacing/>
        <w:jc w:val="both"/>
        <w:rPr>
          <w:b/>
          <w:i/>
        </w:rPr>
      </w:pPr>
      <w:r w:rsidRPr="00FC7ED8">
        <w:rPr>
          <w:b/>
          <w:i/>
        </w:rPr>
        <w:t>Мярка:</w:t>
      </w:r>
      <w:r w:rsidRPr="00FC7ED8">
        <w:t xml:space="preserve"> </w:t>
      </w:r>
      <w:r w:rsidRPr="00FC7ED8">
        <w:rPr>
          <w:b/>
          <w:i/>
        </w:rPr>
        <w:t>Насърчаване на предприемачеството и развитие на икономически дейности в нови микро и малки предприятия.</w:t>
      </w:r>
    </w:p>
    <w:p w:rsidR="00FC7ED8" w:rsidRPr="00FC7ED8" w:rsidRDefault="00FC7ED8" w:rsidP="00FC7ED8">
      <w:pPr>
        <w:tabs>
          <w:tab w:val="left" w:pos="851"/>
        </w:tabs>
        <w:ind w:firstLine="709"/>
        <w:contextualSpacing/>
        <w:jc w:val="both"/>
      </w:pPr>
      <w:r w:rsidRPr="00FC7ED8">
        <w:t>Презентиране на подходящи терени общинска и държавна собственост, където да се инвестира в развитие на нови предприятия; презентиране на подходящи обекти за развитие на туризъм във всичките му форми.</w:t>
      </w:r>
    </w:p>
    <w:p w:rsidR="00FC7ED8" w:rsidRPr="00FC7ED8" w:rsidRDefault="00FC7ED8" w:rsidP="00FC7ED8">
      <w:pPr>
        <w:tabs>
          <w:tab w:val="left" w:pos="851"/>
        </w:tabs>
        <w:ind w:firstLine="709"/>
        <w:contextualSpacing/>
        <w:jc w:val="both"/>
      </w:pPr>
      <w:r w:rsidRPr="00FC7ED8">
        <w:rPr>
          <w:b/>
          <w:i/>
        </w:rPr>
        <w:t>Мярка:</w:t>
      </w:r>
      <w:r w:rsidRPr="00FC7ED8">
        <w:t xml:space="preserve"> </w:t>
      </w:r>
      <w:r w:rsidRPr="00FC7ED8">
        <w:rPr>
          <w:b/>
          <w:i/>
        </w:rPr>
        <w:t>Подкрепа на фермерите</w:t>
      </w:r>
    </w:p>
    <w:p w:rsidR="00FC7ED8" w:rsidRPr="00FC7ED8" w:rsidRDefault="00FC7ED8" w:rsidP="00FC7ED8">
      <w:pPr>
        <w:tabs>
          <w:tab w:val="left" w:pos="851"/>
        </w:tabs>
        <w:ind w:firstLine="709"/>
        <w:contextualSpacing/>
        <w:jc w:val="both"/>
      </w:pPr>
      <w:r w:rsidRPr="00FC7ED8">
        <w:t>Насърчаване развитието на селското стопанство във всички направление е приоритетно за общината, защото местното население има традиции, опит и наследствени ферми, което ще задържи младите хора и подобри стандарта им на живот в територията.</w:t>
      </w:r>
    </w:p>
    <w:p w:rsidR="00FC7ED8" w:rsidRPr="00FC7ED8" w:rsidRDefault="00FC7ED8" w:rsidP="00FC7ED8">
      <w:pPr>
        <w:tabs>
          <w:tab w:val="left" w:pos="851"/>
        </w:tabs>
        <w:ind w:firstLine="709"/>
        <w:contextualSpacing/>
        <w:jc w:val="both"/>
      </w:pPr>
      <w:r w:rsidRPr="00FC7ED8">
        <w:t xml:space="preserve">Дейности: насърчаване увеличаването на площите с трайни насаждения и създаването на биологично ферми, осигуряване на терени за постоянни и временни пчелини, насърчаване директните доставки към краен потребител чрез изграждане на фермерски пазар „От фермата до масата“, изграждане на компостираща инсталация за разрешаване на проблема с оползотворяване на оборския тор, извеждане на обучителни </w:t>
      </w:r>
      <w:r w:rsidRPr="00FC7ED8">
        <w:lastRenderedPageBreak/>
        <w:t>курсове за повишаване квалификацията на местните кадри с професии и специалности от селскостопанския сектор.</w:t>
      </w:r>
    </w:p>
    <w:p w:rsidR="00FC7ED8" w:rsidRPr="00FC7ED8" w:rsidRDefault="00FC7ED8" w:rsidP="00FC7ED8">
      <w:pPr>
        <w:tabs>
          <w:tab w:val="left" w:pos="851"/>
        </w:tabs>
        <w:ind w:firstLine="709"/>
        <w:contextualSpacing/>
        <w:jc w:val="both"/>
      </w:pPr>
      <w:r w:rsidRPr="00FC7ED8">
        <w:t>Дейности, осигуряващи сътрудничество между бизнеса и местните образователни структури за развитие на професионалните умения на човешките ресурси и обвързването им с потребностите на пазара. Дейностите може да се изпълняват съвместно с училищата на територията на Общината, както и със сдружения от неправителствения сектор.</w:t>
      </w:r>
    </w:p>
    <w:p w:rsidR="00FC7ED8" w:rsidRPr="00FC7ED8" w:rsidRDefault="00FC7ED8" w:rsidP="00FC7ED8">
      <w:pPr>
        <w:tabs>
          <w:tab w:val="left" w:pos="851"/>
        </w:tabs>
        <w:ind w:firstLine="709"/>
        <w:contextualSpacing/>
        <w:jc w:val="both"/>
      </w:pPr>
      <w:r w:rsidRPr="00FC7ED8">
        <w:t>Потенциалните източници на финансиране включват основно ПРСР 2021-2027 г. републиканския бюджет и национални фондове, вкл. План за възстановяване, Европейско икономическо пространство и др..</w:t>
      </w:r>
    </w:p>
    <w:p w:rsidR="00FC7ED8" w:rsidRPr="00FC7ED8" w:rsidRDefault="00FC7ED8" w:rsidP="00FC7ED8">
      <w:pPr>
        <w:tabs>
          <w:tab w:val="left" w:pos="851"/>
        </w:tabs>
        <w:ind w:firstLine="709"/>
        <w:contextualSpacing/>
        <w:jc w:val="both"/>
        <w:rPr>
          <w:b/>
          <w:i/>
        </w:rPr>
      </w:pPr>
      <w:r w:rsidRPr="00FC7ED8">
        <w:rPr>
          <w:b/>
          <w:i/>
        </w:rPr>
        <w:t>Мярка:</w:t>
      </w:r>
      <w:r w:rsidRPr="00FC7ED8">
        <w:t xml:space="preserve"> </w:t>
      </w:r>
      <w:r w:rsidRPr="00FC7ED8">
        <w:rPr>
          <w:b/>
          <w:i/>
        </w:rPr>
        <w:t>Подобряване на съществуващия местен бизнес, чрез стимулиране на</w:t>
      </w:r>
      <w:r w:rsidRPr="00FC7ED8">
        <w:t xml:space="preserve"> </w:t>
      </w:r>
      <w:r w:rsidRPr="00FC7ED8">
        <w:rPr>
          <w:b/>
          <w:i/>
        </w:rPr>
        <w:t>кръговата икономика</w:t>
      </w:r>
    </w:p>
    <w:p w:rsidR="00FC7ED8" w:rsidRPr="00FC7ED8" w:rsidRDefault="00FC7ED8" w:rsidP="00FC7ED8">
      <w:pPr>
        <w:tabs>
          <w:tab w:val="left" w:pos="851"/>
        </w:tabs>
        <w:ind w:firstLine="709"/>
        <w:contextualSpacing/>
        <w:jc w:val="both"/>
      </w:pPr>
      <w:r w:rsidRPr="00FC7ED8">
        <w:t>Кръговата икономика е модел, насочен към удължаване на жизнения цикъл на продуктите. На практика това означава възможно най-дълго споделяне, заемане, повторно използване, поправка и рециклиране на съществуващи материали и продукти. В това направление основен източник могат да бъдат битовите и дървесните отпадъци – хартия, пластмаса, биомаса. Те могат да се преработват в рециклируеми опаковки, строителни изделия, като плочки, пръчковидни с различна дебелина пейки, хранилки за птици и животни и др. На рециклиране подлежат и строителните отпадъци. От биомасата може да се произвежда порозьозен въглен за задържане на влагата в почвите. Развитието на бизнес в това направление в  бъдеще е ресурсно добре обезпечен.</w:t>
      </w:r>
    </w:p>
    <w:p w:rsidR="00FC7ED8" w:rsidRPr="00FC7ED8" w:rsidRDefault="00FC7ED8" w:rsidP="00FC7ED8">
      <w:pPr>
        <w:tabs>
          <w:tab w:val="left" w:pos="851"/>
        </w:tabs>
        <w:ind w:firstLine="709"/>
        <w:contextualSpacing/>
        <w:jc w:val="both"/>
      </w:pPr>
      <w:r w:rsidRPr="00FC7ED8">
        <w:t>Битовите отпадъци са общинска собственост и ресурс, който общината може да предоставя, дори безплатно на МСП (вместо да плаща за тяхното събиране и депониране) за развитие на предприемачеството за тяхното оползотворяване, респ. разкриване на нови работни места.</w:t>
      </w:r>
    </w:p>
    <w:p w:rsidR="00FC7ED8" w:rsidRPr="00FC7ED8" w:rsidRDefault="00FC7ED8" w:rsidP="00FC7ED8">
      <w:pPr>
        <w:tabs>
          <w:tab w:val="left" w:pos="851"/>
        </w:tabs>
        <w:ind w:firstLine="709"/>
        <w:contextualSpacing/>
        <w:jc w:val="both"/>
      </w:pPr>
      <w:r w:rsidRPr="00FC7ED8">
        <w:t>Кръговата икономика е приоритет на ЕС и финансова подкрепа за реализиране на подобни проекти може да се търси в програмите „Околна среда“, „Иновации и</w:t>
      </w:r>
    </w:p>
    <w:p w:rsidR="00FC7ED8" w:rsidRPr="00FC7ED8" w:rsidRDefault="00FC7ED8" w:rsidP="00FC7ED8">
      <w:pPr>
        <w:tabs>
          <w:tab w:val="left" w:pos="851"/>
        </w:tabs>
        <w:ind w:firstLine="709"/>
        <w:contextualSpacing/>
        <w:jc w:val="both"/>
      </w:pPr>
      <w:r w:rsidRPr="00FC7ED8">
        <w:t>конкурентоспособност“, Финансовия механизъм на Европейското икономическо пространство</w:t>
      </w:r>
    </w:p>
    <w:p w:rsidR="00FC7ED8" w:rsidRPr="00FC7ED8" w:rsidRDefault="00FC7ED8" w:rsidP="00FC7ED8">
      <w:pPr>
        <w:tabs>
          <w:tab w:val="left" w:pos="851"/>
        </w:tabs>
        <w:ind w:firstLine="709"/>
        <w:contextualSpacing/>
        <w:jc w:val="both"/>
        <w:rPr>
          <w:b/>
          <w:i/>
        </w:rPr>
      </w:pPr>
      <w:r w:rsidRPr="00FC7ED8">
        <w:rPr>
          <w:b/>
          <w:i/>
        </w:rPr>
        <w:t>Мярка:</w:t>
      </w:r>
      <w:r w:rsidRPr="00FC7ED8">
        <w:t xml:space="preserve"> </w:t>
      </w:r>
      <w:r w:rsidRPr="00FC7ED8">
        <w:rPr>
          <w:b/>
          <w:i/>
        </w:rPr>
        <w:t>Развитие и поддържане на природните и културно-исторически обекти за развитие на туризма</w:t>
      </w:r>
    </w:p>
    <w:p w:rsidR="00FC7ED8" w:rsidRPr="00FC7ED8" w:rsidRDefault="00FC7ED8" w:rsidP="00FC7ED8">
      <w:pPr>
        <w:tabs>
          <w:tab w:val="left" w:pos="851"/>
        </w:tabs>
        <w:ind w:firstLine="709"/>
        <w:contextualSpacing/>
        <w:jc w:val="both"/>
      </w:pPr>
      <w:r w:rsidRPr="00FC7ED8">
        <w:t>Мярката има за цел да развие местния потенциал за развитие на конкурентоспособен</w:t>
      </w:r>
    </w:p>
    <w:p w:rsidR="00FC7ED8" w:rsidRPr="00FC7ED8" w:rsidRDefault="00FC7ED8" w:rsidP="00FC7ED8">
      <w:pPr>
        <w:tabs>
          <w:tab w:val="left" w:pos="851"/>
        </w:tabs>
        <w:ind w:firstLine="709"/>
        <w:contextualSpacing/>
        <w:jc w:val="both"/>
      </w:pPr>
      <w:r w:rsidRPr="00FC7ED8">
        <w:t>туристически продукт, чрез който да се привлече туристически поток и по този начин да допринесе за нарастване на приходите от туризъм, осигуряване на нови работни места и увеличаване възможностите за устойчиво развитие на територията.</w:t>
      </w:r>
    </w:p>
    <w:p w:rsidR="00FC7ED8" w:rsidRPr="00FC7ED8" w:rsidRDefault="00FC7ED8" w:rsidP="00FC7ED8">
      <w:pPr>
        <w:tabs>
          <w:tab w:val="left" w:pos="851"/>
        </w:tabs>
        <w:ind w:firstLine="709"/>
        <w:contextualSpacing/>
        <w:jc w:val="both"/>
      </w:pPr>
      <w:r w:rsidRPr="00FC7ED8">
        <w:t xml:space="preserve">Дейностите, които могат да се предприемат, трябва да са в посока за опазване на природното и културно- историческото наследство и неговото експониране и популяризиране. </w:t>
      </w:r>
    </w:p>
    <w:p w:rsidR="00FC7ED8" w:rsidRPr="00FC7ED8" w:rsidRDefault="00FC7ED8" w:rsidP="00FC7ED8">
      <w:pPr>
        <w:tabs>
          <w:tab w:val="left" w:pos="851"/>
        </w:tabs>
        <w:ind w:firstLine="709"/>
        <w:contextualSpacing/>
        <w:jc w:val="both"/>
      </w:pPr>
      <w:r w:rsidRPr="00FC7ED8">
        <w:t>Потенциалните източници на финансиране включват ПРР 2021-2027 г., ПОС 2021-2027 г., ПРСР 2021-2027 г., републиканския бюджет и национални фондове.</w:t>
      </w:r>
    </w:p>
    <w:p w:rsidR="00FC7ED8" w:rsidRPr="00FC7ED8" w:rsidRDefault="00FC7ED8" w:rsidP="00FC7ED8">
      <w:pPr>
        <w:widowControl w:val="0"/>
        <w:tabs>
          <w:tab w:val="left" w:pos="851"/>
          <w:tab w:val="left" w:pos="8080"/>
        </w:tabs>
        <w:autoSpaceDE w:val="0"/>
        <w:autoSpaceDN w:val="0"/>
        <w:ind w:firstLine="709"/>
        <w:jc w:val="both"/>
        <w:rPr>
          <w:b/>
        </w:rPr>
      </w:pPr>
    </w:p>
    <w:p w:rsidR="00FC7ED8" w:rsidRPr="00FC7ED8" w:rsidRDefault="00FC7ED8" w:rsidP="00FC7ED8">
      <w:pPr>
        <w:widowControl w:val="0"/>
        <w:tabs>
          <w:tab w:val="left" w:pos="851"/>
          <w:tab w:val="left" w:pos="8080"/>
        </w:tabs>
        <w:autoSpaceDE w:val="0"/>
        <w:autoSpaceDN w:val="0"/>
        <w:ind w:firstLine="567"/>
        <w:jc w:val="both"/>
        <w:rPr>
          <w:b/>
        </w:rPr>
      </w:pPr>
      <w:r w:rsidRPr="00FC7ED8">
        <w:rPr>
          <w:b/>
        </w:rPr>
        <w:t>Приоритет 2. Повишаване качеството на образованието, социалните, културни и здравни дейности и тяхната инфраструктура</w:t>
      </w:r>
    </w:p>
    <w:p w:rsidR="00FC7ED8" w:rsidRPr="00FC7ED8" w:rsidRDefault="00FC7ED8" w:rsidP="00FC7ED8">
      <w:pPr>
        <w:tabs>
          <w:tab w:val="left" w:pos="851"/>
        </w:tabs>
        <w:ind w:firstLine="567"/>
        <w:contextualSpacing/>
        <w:jc w:val="both"/>
        <w:rPr>
          <w:rFonts w:eastAsia="Calibri"/>
          <w: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 xml:space="preserve">Създаване на условия за разширяване използването на ИКТ инфраструктура в учебния процес – </w:t>
      </w:r>
      <w:r w:rsidRPr="00FC7ED8">
        <w:rPr>
          <w:rFonts w:eastAsia="Calibri"/>
          <w:i/>
          <w:lang w:eastAsia="en-US"/>
        </w:rPr>
        <w:t xml:space="preserve">особено чувствителна тема по време на </w:t>
      </w:r>
      <w:r w:rsidRPr="00FC7ED8">
        <w:rPr>
          <w:rFonts w:eastAsia="Calibri"/>
          <w:i/>
          <w:lang w:eastAsia="en-US"/>
        </w:rPr>
        <w:lastRenderedPageBreak/>
        <w:t xml:space="preserve">пандемията от </w:t>
      </w:r>
      <w:r w:rsidRPr="00FC7ED8">
        <w:rPr>
          <w:rFonts w:eastAsia="Calibri"/>
          <w:i/>
          <w:lang w:val="en-US" w:eastAsia="en-US"/>
        </w:rPr>
        <w:t>COVID</w:t>
      </w:r>
      <w:r w:rsidRPr="00FC7ED8">
        <w:rPr>
          <w:rFonts w:eastAsia="Calibri"/>
          <w:i/>
          <w:lang w:val="ru-RU" w:eastAsia="en-US"/>
        </w:rPr>
        <w:t xml:space="preserve"> -19</w:t>
      </w:r>
      <w:r w:rsidRPr="00FC7ED8">
        <w:rPr>
          <w:rFonts w:eastAsia="Calibri"/>
          <w:i/>
          <w:lang w:eastAsia="en-US"/>
        </w:rPr>
        <w:t xml:space="preserve"> и провеждане на учебен процес в електронна среда и от разстояние.</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bCs/>
          <w:lang w:eastAsia="en-US"/>
        </w:rPr>
        <w:t xml:space="preserve">Изграждане на образователна STEM среда – оборудване на STEM кабинети в училищата, дигитална трансформация на училищното образование - </w:t>
      </w:r>
      <w:r w:rsidRPr="00FC7ED8">
        <w:rPr>
          <w:rFonts w:eastAsia="Calibri"/>
          <w:lang w:eastAsia="en-US"/>
        </w:rPr>
        <w:t xml:space="preserve"> осигуряване на ИКТ инфраструктура и оборудване, както и обучение на учителите в областта на цифровото образование и цифровите компетентности на учителите и насърчаване на използването на цифрови педагогически методи.</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lang w:eastAsia="en-US"/>
        </w:rPr>
        <w:t>Потенциалните източници на финансиране включват: ПРЧР 2021-2027 г., ПРР 2021-2027 г., ПРСР 2021-2027 г., План за възстановяване, републиканския бюджет и национални фондове.</w:t>
      </w:r>
    </w:p>
    <w:p w:rsidR="00FC7ED8" w:rsidRPr="00FC7ED8" w:rsidRDefault="00FC7ED8" w:rsidP="00FC7ED8">
      <w:pPr>
        <w:tabs>
          <w:tab w:val="left" w:pos="851"/>
        </w:tabs>
        <w:ind w:firstLine="567"/>
        <w:contextualSpacing/>
        <w:jc w:val="both"/>
        <w:rPr>
          <w:rFonts w:eastAsia="Calibri"/>
          <w:b/>
          <w: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Осигуряване на условия за равен достъп до качествено образование</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color w:val="000000"/>
          <w:lang w:eastAsia="en-US"/>
        </w:rPr>
        <w:t>Реализацията на дейностите по тази мярка ще допринесе съществено за повишаване на жизнения стандарт чрез достъпно и конкурентоспособно образование и обучение.</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color w:val="000000"/>
          <w:lang w:eastAsia="en-US"/>
        </w:rPr>
        <w:t>Образованието и неговите връзки с научните изследвания и иновациите играят важна роля за личния и обществения напредък за постигане на икономически растеж и осигуряване на благоденствие за населението.</w:t>
      </w:r>
    </w:p>
    <w:p w:rsidR="00FC7ED8" w:rsidRPr="00FC7ED8" w:rsidRDefault="00FC7ED8" w:rsidP="00FC7ED8">
      <w:pPr>
        <w:tabs>
          <w:tab w:val="left" w:pos="851"/>
        </w:tabs>
        <w:autoSpaceDE w:val="0"/>
        <w:autoSpaceDN w:val="0"/>
        <w:adjustRightInd w:val="0"/>
        <w:ind w:firstLine="567"/>
        <w:jc w:val="both"/>
        <w:rPr>
          <w:rFonts w:eastAsia="Calibri"/>
          <w:bCs/>
          <w:color w:val="000000"/>
          <w:lang w:eastAsia="en-US"/>
        </w:rPr>
      </w:pPr>
      <w:r w:rsidRPr="00FC7ED8">
        <w:rPr>
          <w:rFonts w:eastAsia="Calibri"/>
          <w:bCs/>
          <w:color w:val="000000"/>
          <w:lang w:eastAsia="en-US"/>
        </w:rPr>
        <w:t>дейности: Обхващане и задържане в образователната система на деца и ученици в задължителна предучилищна и училищна възраст и насърчаване завършването на първи гимназиален етап и средно образование.</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lang w:eastAsia="en-US"/>
        </w:rPr>
        <w:t>Потенциалните източници на финансиране включват: ПРЧР 2021-2027 г., ПРСР 2021-2027 г., План за възстановяване, републиканския бюджет и национални фондове.</w:t>
      </w:r>
    </w:p>
    <w:p w:rsidR="00FC7ED8" w:rsidRPr="00FC7ED8" w:rsidRDefault="00FC7ED8" w:rsidP="00FC7ED8">
      <w:pPr>
        <w:tabs>
          <w:tab w:val="left" w:pos="851"/>
        </w:tabs>
        <w:ind w:firstLine="567"/>
        <w:contextualSpacing/>
        <w:jc w:val="both"/>
        <w:rPr>
          <w:rFonts w:eastAsia="Calibri"/>
          <w:b/>
          <w: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Развитие на качествено професионално образование и учене през целия живот</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bCs/>
          <w:color w:val="000000"/>
          <w:lang w:eastAsia="en-US"/>
        </w:rPr>
        <w:t xml:space="preserve">Дейности: Съставяне на модулни учебни планове и програми за професии, отчитащи реалните нужди на пазара на труда, вкл. дуално образование, програми за квалификационни курсове, придобиване на професия, част от професия и др. </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lang w:eastAsia="en-US"/>
        </w:rPr>
        <w:t>Потенциалните източници на финансиране включват ПРЧР 2021-2027 г., ПРСР 2021-2027 г., План за възстановяване, републиканския бюджет и национални фондове.</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Здравна инфраструктура</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color w:val="000000"/>
          <w:lang w:eastAsia="en-US"/>
        </w:rPr>
        <w:t>Мярката е насочена към подобряване и модернизиране основните елементи на здравната инфраструктура в общината и използване на технологичните възможности за осигуряване на равен и ефективен достъп до качествени здравни услуги, включително и на живеещите в малки населени места, отдалечени от градския център.</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lang w:eastAsia="en-US"/>
        </w:rPr>
        <w:t>Изпълнението на мярката ще осигури достъпно и качествено здравеопазване. Добрата здравна система е условие за развитие на работната сила и е от изключителна необходимост за развитие на местната икономика. Дейностите ще подобрят достъпа до здравно обслужване за всички граждани, подобряване на материалната база и обновяване на сградния фонд на медицинската инфраструктура, чрез извършване на строително-монтажни работи и закупуване на апаратура за лечебни заведения, намаляване на основни рискови за здравето фактори и подобряване профилактиката на болестите.</w:t>
      </w:r>
      <w:r w:rsidRPr="00FC7ED8">
        <w:rPr>
          <w:rFonts w:eastAsia="Calibri"/>
          <w:color w:val="000000"/>
          <w:lang w:eastAsia="en-US"/>
        </w:rPr>
        <w:t xml:space="preserve"> </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bCs/>
          <w:color w:val="000000"/>
          <w:lang w:eastAsia="en-US"/>
        </w:rPr>
        <w:t xml:space="preserve">Дейности: Основен ремонт на здравни пунктове/кабинети и закупуване на съвременно медицинско оборудване, развитие на мрежа за прилагане на телемедицина за консултиране и проследяване на състоянието на пациенти в отдалечени от общинския център населени места, осигуряване на аптечно обслужване в населените места. </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lang w:eastAsia="en-US"/>
        </w:rPr>
        <w:lastRenderedPageBreak/>
        <w:t>Потенциалните източници на финансиране включват:  ПРСР 2021-2027 г., План за възстановяване, републиканския бюджет и национални фондове, Европейско икономическо пространство.</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Социална инфраструктура и социални дейности</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lang w:eastAsia="en-US"/>
        </w:rPr>
        <w:t>Изпълнението на мярката ще осигури достъпни и качествени социални услуги. Дейностите ще подобрят достъпа до социално обслужване за всички граждани, подобряване на материалната база и обновяване на сградния фонд на социална инфраструктура, чрез извършване на строително-монтажни работи и изграждане на достъпна среда.</w:t>
      </w:r>
    </w:p>
    <w:p w:rsidR="00FC7ED8" w:rsidRPr="00FC7ED8" w:rsidRDefault="00FC7ED8" w:rsidP="00FC7ED8">
      <w:pPr>
        <w:tabs>
          <w:tab w:val="left" w:pos="851"/>
        </w:tabs>
        <w:autoSpaceDE w:val="0"/>
        <w:autoSpaceDN w:val="0"/>
        <w:adjustRightInd w:val="0"/>
        <w:ind w:firstLine="567"/>
        <w:jc w:val="both"/>
        <w:rPr>
          <w:rFonts w:eastAsia="Calibri"/>
          <w:bCs/>
          <w:color w:val="000000"/>
          <w:lang w:eastAsia="en-US"/>
        </w:rPr>
      </w:pPr>
      <w:r w:rsidRPr="00FC7ED8">
        <w:rPr>
          <w:rFonts w:eastAsia="Calibri"/>
          <w:bCs/>
          <w:color w:val="000000"/>
          <w:lang w:eastAsia="en-US"/>
        </w:rPr>
        <w:t>Дейности: подобряване и поддръжка на материално-техническата база на изградените обекти за социални услуги, разширяване обхвата на социалните услуги, инфраструктура и оборудване на лична мобилност и достъпност за хората с трайни увреждания, подобряване на достъпа до заетост на хората с увреждания и на други уязвими групи чрез предоставяне на комплексни услуги, вкл. към техните семейства, о</w:t>
      </w:r>
      <w:r w:rsidRPr="00FC7ED8">
        <w:rPr>
          <w:rFonts w:eastAsia="Calibri"/>
          <w:lang w:eastAsia="en-US"/>
        </w:rPr>
        <w:t>сигуряване на грижи в домашна среда на хора с увреждания, самотно живеещи и възрастни хора, възобновяване на Домашен социален патронаж в Община Кайнарджа.</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lang w:eastAsia="en-US"/>
        </w:rPr>
        <w:t>Потенциалните източници на финансиране включват:  ПРСР 2021-2027 г., План за възстановяване, републиканския бюджет и национални фондове, Европейско икономическо пространство, ПРЧР 2021-2027 г., финансиране от Агенция за хора с увреждания.</w:t>
      </w:r>
    </w:p>
    <w:p w:rsidR="00FC7ED8" w:rsidRPr="00FC7ED8" w:rsidRDefault="00FC7ED8" w:rsidP="00FC7ED8">
      <w:pPr>
        <w:tabs>
          <w:tab w:val="left" w:pos="851"/>
        </w:tabs>
        <w:ind w:firstLine="567"/>
        <w:contextualSpacing/>
        <w:jc w:val="both"/>
        <w:rPr>
          <w:rFonts w:eastAsia="Calibr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Развитие и разнообразяване на културния живот</w:t>
      </w:r>
    </w:p>
    <w:p w:rsidR="00FC7ED8" w:rsidRPr="00FC7ED8" w:rsidRDefault="00FC7ED8" w:rsidP="00FC7ED8">
      <w:pPr>
        <w:tabs>
          <w:tab w:val="left" w:pos="851"/>
        </w:tabs>
        <w:autoSpaceDE w:val="0"/>
        <w:autoSpaceDN w:val="0"/>
        <w:adjustRightInd w:val="0"/>
        <w:ind w:firstLine="567"/>
        <w:jc w:val="both"/>
        <w:rPr>
          <w:rFonts w:eastAsia="Calibri"/>
          <w:lang w:eastAsia="en-US"/>
        </w:rPr>
      </w:pPr>
      <w:r w:rsidRPr="00FC7ED8">
        <w:rPr>
          <w:rFonts w:eastAsia="Calibri"/>
          <w:lang w:eastAsia="en-US"/>
        </w:rPr>
        <w:t>Мярката е ориентирана към развитието на културния живот в общината. Ще се предприемат действия в подкрепа на местни културни средища, включително читалища, библиотеки, музеи и др., при използване на достиженията на технологиите за повишаване на достъпността на създавания културен продукт. Ще се насърчава и подкрепя организирането и провеждането на концерти, фестивали и други културни събития, организирани от Община Кайнарджа или други културни институции от територията на общината.</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bCs/>
          <w:color w:val="000000"/>
          <w:lang w:eastAsia="en-US"/>
        </w:rPr>
        <w:t>Дейности: Съхраняване, опазване и частично експониране на недвижимо културно наследство, дигитализация на музейни и библиотечни фондове, повишаване качеството на културния продукт.</w:t>
      </w:r>
    </w:p>
    <w:p w:rsidR="00FC7ED8" w:rsidRPr="00FC7ED8" w:rsidRDefault="00FC7ED8" w:rsidP="00FC7ED8">
      <w:pPr>
        <w:tabs>
          <w:tab w:val="left" w:pos="851"/>
        </w:tabs>
        <w:autoSpaceDE w:val="0"/>
        <w:autoSpaceDN w:val="0"/>
        <w:adjustRightInd w:val="0"/>
        <w:ind w:firstLine="567"/>
        <w:jc w:val="both"/>
        <w:rPr>
          <w:rFonts w:eastAsia="Calibri"/>
          <w:color w:val="000000"/>
          <w:lang w:eastAsia="en-US"/>
        </w:rPr>
      </w:pPr>
      <w:r w:rsidRPr="00FC7ED8">
        <w:rPr>
          <w:rFonts w:eastAsia="Calibri"/>
          <w:color w:val="000000"/>
          <w:lang w:eastAsia="en-US"/>
        </w:rPr>
        <w:t xml:space="preserve">Дейностите са насочени към съхранение, опазване и прилагане на модерни подходи за планиране и организация на експозициите (финансов ресурс на План за възстановяване). </w:t>
      </w:r>
    </w:p>
    <w:p w:rsidR="00FC7ED8" w:rsidRPr="00FC7ED8" w:rsidRDefault="00FC7ED8" w:rsidP="00FC7ED8">
      <w:pPr>
        <w:tabs>
          <w:tab w:val="left" w:pos="851"/>
        </w:tabs>
        <w:autoSpaceDE w:val="0"/>
        <w:autoSpaceDN w:val="0"/>
        <w:adjustRightInd w:val="0"/>
        <w:ind w:firstLine="567"/>
        <w:jc w:val="both"/>
        <w:rPr>
          <w:rFonts w:eastAsia="Calibri"/>
          <w:lang w:eastAsia="en-US"/>
        </w:rPr>
      </w:pPr>
      <w:r w:rsidRPr="00FC7ED8">
        <w:rPr>
          <w:rFonts w:eastAsia="Calibri"/>
          <w:lang w:eastAsia="en-US"/>
        </w:rPr>
        <w:t>Потенциалните източници на финансиране включват ПРР 2021-2027 г., ПРСР 2021-2027 г., План за възстановяване, републиканския бюджет и национални фондове.</w:t>
      </w:r>
    </w:p>
    <w:p w:rsidR="00FC7ED8" w:rsidRPr="00FC7ED8" w:rsidRDefault="00FC7ED8" w:rsidP="00FC7ED8">
      <w:pPr>
        <w:widowControl w:val="0"/>
        <w:tabs>
          <w:tab w:val="left" w:pos="851"/>
          <w:tab w:val="left" w:pos="8080"/>
        </w:tabs>
        <w:autoSpaceDE w:val="0"/>
        <w:autoSpaceDN w:val="0"/>
        <w:ind w:firstLine="709"/>
        <w:jc w:val="both"/>
        <w:rPr>
          <w:b/>
        </w:rPr>
      </w:pPr>
    </w:p>
    <w:p w:rsidR="00FC7ED8" w:rsidRPr="00FC7ED8" w:rsidRDefault="00FC7ED8" w:rsidP="00FC7ED8">
      <w:pPr>
        <w:widowControl w:val="0"/>
        <w:tabs>
          <w:tab w:val="left" w:pos="851"/>
          <w:tab w:val="left" w:pos="8080"/>
        </w:tabs>
        <w:autoSpaceDE w:val="0"/>
        <w:autoSpaceDN w:val="0"/>
        <w:ind w:firstLine="709"/>
        <w:jc w:val="both"/>
        <w:rPr>
          <w:b/>
        </w:rPr>
      </w:pPr>
      <w:r w:rsidRPr="00FC7ED8">
        <w:rPr>
          <w:b/>
        </w:rPr>
        <w:t>Приоритет 3. Подобряване на техническата инфраструктура и опазване на околната среда</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 xml:space="preserve">Устойчивото развитие и достъпът до териториите е не само основна политика на Европейския съюз, но и допринася за комплексното социално-икономическо развитие на местно ниво. Така формулираният приоритет ще допринесе за постигането на това развитие – на територията и населените места на общината. За постигането на балансираност и устойчивост в развитието, отношение имат човешкият фактор и стабилната икономика, така че тази приоритетна област е свързана и с останалите приоритети на ПИРО Кайнарджа (2021-2027). Приоритетът е насочен към развитие на </w:t>
      </w:r>
      <w:r w:rsidRPr="00FC7ED8">
        <w:rPr>
          <w:rFonts w:eastAsia="Calibri"/>
          <w:lang w:eastAsia="en-US"/>
        </w:rPr>
        <w:lastRenderedPageBreak/>
        <w:t>потенциала на общината и превръщането ѝ в привлекателно място за живеене и бизнес, със съхранена природа и уникални културни паметници и традиции. Мерките по този приоритет ще допринасят за намаляването на икономическите и социалните неравенства, за интегрирано развитие на територията, за подобряване на техническата инфраструктура и за засилване на икономическото, социалното и териториалното сближаване.</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Приоритетът ще се реализира чрез следните мерки:</w:t>
      </w:r>
    </w:p>
    <w:p w:rsidR="00FC7ED8" w:rsidRPr="00FC7ED8" w:rsidRDefault="00FC7ED8" w:rsidP="00FC7ED8">
      <w:pPr>
        <w:tabs>
          <w:tab w:val="left" w:pos="851"/>
        </w:tabs>
        <w:ind w:firstLine="709"/>
        <w:contextualSpacing/>
        <w:rPr>
          <w:rFonts w:eastAsia="Calibr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Подобряване на уличната инфраструктура</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 xml:space="preserve">Подобряването на уличната инфраструктура ще се отрази положително както на икономическото благосъстояние на общината, така и на жителите ѝ. </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Дейности: Ремонт/рехабилитация на уличната мрежа в населените места и прилежащите тротоарни площи, улично осветление.</w:t>
      </w:r>
    </w:p>
    <w:p w:rsidR="00FC7ED8" w:rsidRPr="00FC7ED8" w:rsidRDefault="00FC7ED8" w:rsidP="00FC7ED8">
      <w:pPr>
        <w:tabs>
          <w:tab w:val="left" w:pos="851"/>
        </w:tabs>
        <w:ind w:firstLine="709"/>
        <w:contextualSpacing/>
        <w:jc w:val="both"/>
        <w:rPr>
          <w:rFonts w:eastAsia="Calibri"/>
          <w:b/>
          <w: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Подобряване качеството и ефективността на ВиК инфраструктурата</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В тази мярка се комбинират дейности по рехабилитация на водоснабдителната и канализационната инфраструктура в общината, като приоритет следва да се постави върху обновяването на водопроводната мрежа и намаляването на загубите на питейна вода. Мярката ще допринесе за продължаващото подобряване на водния сектор в общината и намаляване загубите на ограничения ресурс „ЧИСТА ПИТЕЙНА ВОДА“ и изобщо на водата като ресурс на планетата.</w:t>
      </w:r>
    </w:p>
    <w:p w:rsidR="00FC7ED8" w:rsidRPr="00857CA4" w:rsidRDefault="00FC7ED8" w:rsidP="00FC7ED8">
      <w:pPr>
        <w:tabs>
          <w:tab w:val="left" w:pos="851"/>
        </w:tabs>
        <w:ind w:firstLine="709"/>
        <w:contextualSpacing/>
        <w:jc w:val="both"/>
        <w:rPr>
          <w:rFonts w:eastAsia="Calibri"/>
          <w:lang w:eastAsia="en-US"/>
        </w:rPr>
      </w:pPr>
      <w:r w:rsidRPr="00FC7ED8">
        <w:rPr>
          <w:rFonts w:eastAsia="Calibri"/>
          <w:lang w:eastAsia="en-US"/>
        </w:rPr>
        <w:t>Дейности: Подновяване на водопроводна мрежа, изграждане на канализационни съоръжения, макар и локални при определени производства.</w:t>
      </w:r>
      <w:r w:rsidR="009C273E">
        <w:rPr>
          <w:rFonts w:eastAsia="Calibri"/>
          <w:lang w:eastAsia="en-US"/>
        </w:rPr>
        <w:t xml:space="preserve"> В общинска администрация са изготвени проекти, заедно с ППР документация за ремонт на голяма част от остарялата водопроводна система</w:t>
      </w:r>
      <w:r w:rsidR="00857CA4">
        <w:rPr>
          <w:rFonts w:eastAsia="Calibri"/>
          <w:lang w:eastAsia="en-US"/>
        </w:rPr>
        <w:t xml:space="preserve">: </w:t>
      </w:r>
      <w:r w:rsidR="00857CA4" w:rsidRPr="00857CA4">
        <w:rPr>
          <w:rFonts w:eastAsia="Calibri"/>
          <w:b/>
          <w:lang w:eastAsia="en-US"/>
        </w:rPr>
        <w:t>„Реконструкция и доизграждане  на част от водоснабдителните системи и съоръжения в 2 населени места в община Кайнарджа“</w:t>
      </w:r>
      <w:r w:rsidR="00857CA4">
        <w:rPr>
          <w:rFonts w:eastAsia="Calibri"/>
          <w:b/>
          <w:lang w:eastAsia="en-US"/>
        </w:rPr>
        <w:t xml:space="preserve">, </w:t>
      </w:r>
      <w:r w:rsidR="00857CA4">
        <w:rPr>
          <w:rFonts w:eastAsia="Calibri"/>
          <w:lang w:eastAsia="en-US"/>
        </w:rPr>
        <w:t xml:space="preserve">по който се откриват строителни площадки за ремонт на водопроводи с обща дължина в двете села – </w:t>
      </w:r>
      <w:r w:rsidR="00857CA4" w:rsidRPr="00857CA4">
        <w:rPr>
          <w:rFonts w:eastAsia="Calibri"/>
          <w:b/>
          <w:lang w:eastAsia="en-US"/>
        </w:rPr>
        <w:t>8 602,5 метра</w:t>
      </w:r>
      <w:r w:rsidR="00857CA4">
        <w:rPr>
          <w:rFonts w:eastAsia="Calibri"/>
          <w:b/>
          <w:lang w:eastAsia="en-US"/>
        </w:rPr>
        <w:t>.</w:t>
      </w:r>
    </w:p>
    <w:p w:rsidR="00FC7ED8" w:rsidRPr="00FC7ED8" w:rsidRDefault="00FC7ED8" w:rsidP="00FC7ED8">
      <w:pPr>
        <w:tabs>
          <w:tab w:val="left" w:pos="851"/>
        </w:tabs>
        <w:ind w:firstLine="709"/>
        <w:contextualSpacing/>
        <w:rPr>
          <w:rFonts w:eastAsia="Calibri"/>
          <w:b/>
          <w: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Селищно развитие</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Мярката обхваща проекти на територията на населените места, чиято реализация ще доведе до преодоляване на неудовлетворителното състояние на урбанизираните територии и ще използва потенциала им за развитие, като осигури прилагането на интегриран териториален подход в рамките на общината.</w:t>
      </w:r>
    </w:p>
    <w:p w:rsidR="00FC7ED8" w:rsidRDefault="00FC7ED8" w:rsidP="00FC7ED8">
      <w:pPr>
        <w:tabs>
          <w:tab w:val="left" w:pos="851"/>
        </w:tabs>
        <w:ind w:firstLine="709"/>
        <w:contextualSpacing/>
        <w:jc w:val="both"/>
        <w:rPr>
          <w:rFonts w:eastAsia="Calibri"/>
          <w:lang w:eastAsia="en-US"/>
        </w:rPr>
      </w:pPr>
      <w:r w:rsidRPr="00FC7ED8">
        <w:rPr>
          <w:rFonts w:eastAsia="Calibri"/>
          <w:lang w:eastAsia="en-US"/>
        </w:rPr>
        <w:t>Възможни дейности: разработване на устройствени планове за селата в съответствие с предвижданията на ОУПО; Изготвяне на кадастрални карти за населените места и устройствени планове; рехабилитация на публични пространства – площади, зелени площи; оптимизиране на улично осветление в селата, където е необходимо, осигуряване на цифрова свързаност на малките населени места и изграждане на точки за достъп до интернет в читалищата“.</w:t>
      </w:r>
    </w:p>
    <w:p w:rsidR="003C5CE2" w:rsidRDefault="003C5CE2" w:rsidP="00FC7ED8">
      <w:pPr>
        <w:tabs>
          <w:tab w:val="left" w:pos="851"/>
        </w:tabs>
        <w:ind w:firstLine="709"/>
        <w:contextualSpacing/>
        <w:jc w:val="both"/>
        <w:rPr>
          <w:rFonts w:eastAsia="Calibri"/>
          <w:lang w:eastAsia="en-US"/>
        </w:rPr>
      </w:pPr>
      <w:r>
        <w:rPr>
          <w:rFonts w:eastAsia="Calibri"/>
          <w:lang w:eastAsia="en-US"/>
        </w:rPr>
        <w:t xml:space="preserve">По тази мярка с гордост може да се отбележи , че през 2023 година </w:t>
      </w:r>
      <w:r w:rsidRPr="003C5CE2">
        <w:rPr>
          <w:rFonts w:eastAsia="Calibri"/>
          <w:b/>
          <w:lang w:eastAsia="en-US"/>
        </w:rPr>
        <w:t>Държавна приемателна комисия  въведе в експлоатация завършената нова двуетажна сграда на ДГ „Еделвайс“ в с. Голеш</w:t>
      </w:r>
      <w:r>
        <w:rPr>
          <w:rFonts w:eastAsia="Calibri"/>
          <w:b/>
          <w:lang w:eastAsia="en-US"/>
        </w:rPr>
        <w:t>,</w:t>
      </w:r>
      <w:r>
        <w:rPr>
          <w:rFonts w:eastAsia="Calibri"/>
          <w:lang w:eastAsia="en-US"/>
        </w:rPr>
        <w:t xml:space="preserve"> с което се повишава качеството на образователната среда в поредната образователна институция, за която се грижи кметът на общината – господин Любен Сивев.</w:t>
      </w:r>
      <w:r w:rsidR="00D641E7">
        <w:rPr>
          <w:rFonts w:eastAsia="Calibri"/>
          <w:lang w:eastAsia="en-US"/>
        </w:rPr>
        <w:t xml:space="preserve"> Там инвестицията е над 2 000 000,00 лв.</w:t>
      </w:r>
    </w:p>
    <w:p w:rsidR="00D641E7" w:rsidRPr="00B27B66" w:rsidRDefault="00D641E7" w:rsidP="00FC7ED8">
      <w:pPr>
        <w:tabs>
          <w:tab w:val="left" w:pos="851"/>
        </w:tabs>
        <w:ind w:firstLine="709"/>
        <w:contextualSpacing/>
        <w:jc w:val="both"/>
        <w:rPr>
          <w:rFonts w:eastAsia="Calibri"/>
          <w:lang w:eastAsia="en-US"/>
        </w:rPr>
      </w:pPr>
      <w:r>
        <w:rPr>
          <w:rFonts w:eastAsia="Calibri"/>
          <w:lang w:eastAsia="en-US"/>
        </w:rPr>
        <w:t xml:space="preserve">В с. Средище започна ремонт на триетажна административна сграда по проект </w:t>
      </w:r>
      <w:r w:rsidRPr="00B27B66">
        <w:rPr>
          <w:rFonts w:eastAsia="Calibri"/>
          <w:b/>
          <w:lang w:eastAsia="en-US"/>
        </w:rPr>
        <w:t xml:space="preserve">„Основен ремонт на покрив и подмяна на дограма </w:t>
      </w:r>
      <w:r w:rsidR="00B27B66" w:rsidRPr="00B27B66">
        <w:rPr>
          <w:rFonts w:eastAsia="Calibri"/>
          <w:b/>
          <w:lang w:eastAsia="en-US"/>
        </w:rPr>
        <w:t xml:space="preserve"> на триетажна сграда“</w:t>
      </w:r>
      <w:r w:rsidR="00B27B66">
        <w:rPr>
          <w:rFonts w:eastAsia="Calibri"/>
          <w:b/>
          <w:lang w:eastAsia="en-US"/>
        </w:rPr>
        <w:t xml:space="preserve"> на обща стойност 499 893 ,00 лв. </w:t>
      </w:r>
      <w:r w:rsidR="00B27B66">
        <w:rPr>
          <w:rFonts w:eastAsia="Calibri"/>
          <w:lang w:eastAsia="en-US"/>
        </w:rPr>
        <w:t xml:space="preserve">С този проект се финализира плануваното подобряване на средата, в която ще работят администрациите на кметство Средище, Народно читалище  </w:t>
      </w:r>
      <w:r w:rsidR="00B27B66">
        <w:rPr>
          <w:rFonts w:eastAsia="Calibri"/>
          <w:lang w:eastAsia="en-US"/>
        </w:rPr>
        <w:lastRenderedPageBreak/>
        <w:t>„Стефан Караджа 1943“ и други институции, които кметът на общината предложи да се съберат в една административна сграда за улеснение на населението от този район, така както е в общинския център – с. Кайнарджа.</w:t>
      </w:r>
    </w:p>
    <w:p w:rsidR="00FC7ED8" w:rsidRPr="00FC7ED8" w:rsidRDefault="00FC7ED8" w:rsidP="00FC7ED8">
      <w:pPr>
        <w:tabs>
          <w:tab w:val="left" w:pos="851"/>
        </w:tabs>
        <w:ind w:firstLine="709"/>
        <w:contextualSpacing/>
        <w:rPr>
          <w:rFonts w:eastAsia="Calibr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Зелена система</w:t>
      </w:r>
    </w:p>
    <w:p w:rsidR="00FC7ED8" w:rsidRDefault="00FC7ED8" w:rsidP="00FC7ED8">
      <w:pPr>
        <w:tabs>
          <w:tab w:val="left" w:pos="851"/>
        </w:tabs>
        <w:ind w:firstLine="709"/>
        <w:contextualSpacing/>
        <w:jc w:val="both"/>
        <w:rPr>
          <w:rFonts w:eastAsia="Calibri"/>
          <w:lang w:eastAsia="en-US"/>
        </w:rPr>
      </w:pPr>
      <w:r w:rsidRPr="00FC7ED8">
        <w:rPr>
          <w:rFonts w:eastAsia="Calibri"/>
          <w:lang w:eastAsia="en-US"/>
        </w:rPr>
        <w:t>В рамките на тази мярка, общината  предприем</w:t>
      </w:r>
      <w:r w:rsidR="00A37104">
        <w:rPr>
          <w:rFonts w:eastAsia="Calibri"/>
          <w:lang w:eastAsia="en-US"/>
        </w:rPr>
        <w:t>а</w:t>
      </w:r>
      <w:r w:rsidRPr="00FC7ED8">
        <w:rPr>
          <w:rFonts w:eastAsia="Calibri"/>
          <w:lang w:eastAsia="en-US"/>
        </w:rPr>
        <w:t xml:space="preserve"> конкретни действия по </w:t>
      </w:r>
      <w:r w:rsidR="00A37104">
        <w:rPr>
          <w:rFonts w:eastAsia="Calibri"/>
          <w:lang w:eastAsia="en-US"/>
        </w:rPr>
        <w:t>опазване на зелените системи, като в рамките на общинска администрация има назначен екип от 3 човека, който се грижи за горите, за пасищата и нивите и  зелените системи в рамките на населените места.</w:t>
      </w:r>
    </w:p>
    <w:p w:rsidR="000F6595" w:rsidRPr="00FC7ED8" w:rsidRDefault="000F6595" w:rsidP="00FC7ED8">
      <w:pPr>
        <w:tabs>
          <w:tab w:val="left" w:pos="851"/>
        </w:tabs>
        <w:ind w:firstLine="709"/>
        <w:contextualSpacing/>
        <w:jc w:val="both"/>
        <w:rPr>
          <w:rFonts w:eastAsia="Calibri"/>
          <w:lang w:eastAsia="en-US"/>
        </w:rPr>
      </w:pPr>
      <w:r>
        <w:rPr>
          <w:rFonts w:eastAsia="Calibri"/>
          <w:lang w:eastAsia="en-US"/>
        </w:rPr>
        <w:t>Потенциалните финансови средства могат да дойдат чрез ПОС2021-2027, чрез МОСВ, ПУДООС и други.</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 xml:space="preserve">Дейности: </w:t>
      </w:r>
      <w:r w:rsidR="000F6595">
        <w:rPr>
          <w:rFonts w:eastAsia="Calibri"/>
          <w:lang w:eastAsia="en-US"/>
        </w:rPr>
        <w:t>Ежегодно в общината се кандидатства с проекти по ПУДООС.</w:t>
      </w:r>
    </w:p>
    <w:p w:rsidR="00FC7ED8" w:rsidRPr="00FC7ED8" w:rsidRDefault="00FC7ED8" w:rsidP="00FC7ED8">
      <w:pPr>
        <w:tabs>
          <w:tab w:val="left" w:pos="851"/>
        </w:tabs>
        <w:ind w:firstLine="709"/>
        <w:contextualSpacing/>
        <w:jc w:val="both"/>
        <w:rPr>
          <w:rFonts w:eastAsia="Calibri"/>
          <w:b/>
          <w: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Опазване на околната среда и изграждане на екологична култура за устойчиво развитие на общината</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Част от дейностите, които ще се предприемат по реализиране на дадената мярка, са за</w:t>
      </w:r>
      <w:r w:rsidRPr="00FC7ED8">
        <w:rPr>
          <w:rFonts w:eastAsia="Calibri"/>
          <w:lang w:val="ru-RU" w:eastAsia="en-US"/>
        </w:rPr>
        <w:t xml:space="preserve"> </w:t>
      </w:r>
      <w:r w:rsidRPr="00FC7ED8">
        <w:rPr>
          <w:rFonts w:eastAsia="Calibri"/>
          <w:lang w:eastAsia="en-US"/>
        </w:rPr>
        <w:t>намаляване на негативното въздействие върху околната среда, включително посредством по-ефективно използване на ресурсите, осигуряването на достъп до перспективен и ефективен енергиен източник за промишлеността, домакинствата и обществените сгради в общината.</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Възможни дейности: увеличаване експлоатационния живот на депото за твърди битови отпадъци чрез намаляване на количествата на смесените битови отпадъци, предназначени за крайно обезвреждане, въвеждане на икономически стимули за намаляване образуването на отпадъци изобщо, повишаване на екологичното съзнание на местната общност чрез информационни кампании и конкурси; популяризиране на схемите за „еко-маркировка”, контрол върху спазването на изискванията, въведени в нормативната уредба, вкл. върху спазването на забраните за изхвърляне в общия отпадъчен поток на опасни домакински отпадъци, както и подобряване на организацията по разделяне, временно съхранение, събиране и транспортиране на отпадъците, провеждане на масови информационни кампании за подобряване на екологичната култура.</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Всяка предвидена интервенция може да обхваща комплекс от дейности, подлежащи на финансиране със собствени или заемни средства, публично-частни партньорства, средства от различни оперативни програми или от други източници. Възможно е да бъдат идентифицирани мерки, за чието изпълнение не винаги е необходим финансов ресурс – например раз</w:t>
      </w:r>
      <w:r w:rsidR="000F6595">
        <w:rPr>
          <w:rFonts w:eastAsia="Calibri"/>
          <w:lang w:eastAsia="en-US"/>
        </w:rPr>
        <w:t>работването на общински наредби, провеждане на кампании по почистване и зацветяване.</w:t>
      </w:r>
    </w:p>
    <w:p w:rsidR="00FC7ED8" w:rsidRPr="00FC7ED8" w:rsidRDefault="00FC7ED8" w:rsidP="00FC7ED8">
      <w:pPr>
        <w:tabs>
          <w:tab w:val="left" w:pos="851"/>
        </w:tabs>
        <w:ind w:firstLine="709"/>
        <w:contextualSpacing/>
        <w:rPr>
          <w:rFonts w:eastAsia="Calibr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Превенция на риска и изменение на климата</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Възможни дейности: мероприятия/дейности и др. в съответствие с предвидените в действащата Национална програма за превенция и ограничаване на свлачищата на територията на Република България, ерозията и абразията по Дунавското и Че</w:t>
      </w:r>
      <w:r w:rsidR="00805469">
        <w:rPr>
          <w:rFonts w:eastAsia="Calibri"/>
          <w:lang w:eastAsia="en-US"/>
        </w:rPr>
        <w:t xml:space="preserve">рноморското крайбрежие </w:t>
      </w:r>
      <w:r w:rsidRPr="00FC7ED8">
        <w:rPr>
          <w:rFonts w:eastAsia="Calibri"/>
          <w:lang w:eastAsia="en-US"/>
        </w:rPr>
        <w:t xml:space="preserve"> и последващите,  повишаване готовността на населението и капацитета на силите за реагиране в случай на наводнения, пожари и земетресения и други природни катаклизми, вкл. дейности за повишаване на информираността на населението, обучения, информационно-образователни мерки за формиране, прилагане и изпълнение на целите на политиките, свързани с изменението на климата.</w:t>
      </w:r>
    </w:p>
    <w:p w:rsidR="00FC7ED8" w:rsidRDefault="00FC7ED8" w:rsidP="00FC7ED8">
      <w:pPr>
        <w:tabs>
          <w:tab w:val="left" w:pos="851"/>
        </w:tabs>
        <w:ind w:firstLine="709"/>
        <w:contextualSpacing/>
        <w:jc w:val="both"/>
        <w:rPr>
          <w:rFonts w:eastAsia="Calibri"/>
          <w:lang w:eastAsia="en-US"/>
        </w:rPr>
      </w:pPr>
      <w:r w:rsidRPr="00FC7ED8">
        <w:rPr>
          <w:rFonts w:eastAsia="Calibri"/>
          <w:lang w:eastAsia="en-US"/>
        </w:rPr>
        <w:t>Потенциалните източници на финансиране включват ПОС 2021-2027 г., ПРСР 2021-2027 г., републиканския бюджет и национални фондове, както и използване на финансови инструменти.</w:t>
      </w:r>
      <w:r w:rsidR="00263BC7" w:rsidRPr="00263BC7">
        <w:t xml:space="preserve"> </w:t>
      </w:r>
      <w:r w:rsidR="00263BC7" w:rsidRPr="00FC7ED8">
        <w:t xml:space="preserve">Изпълнението на мерки за насърчаване добива и използването на </w:t>
      </w:r>
      <w:r w:rsidR="00263BC7" w:rsidRPr="00FC7ED8">
        <w:lastRenderedPageBreak/>
        <w:t>енергия от възобновяеми източници в община Кайнарджа е постоянна грижа на целия екип на</w:t>
      </w:r>
      <w:r w:rsidR="00263BC7">
        <w:t xml:space="preserve"> общината и имат косвена връзка с опазването на природата и забавяне на промените в климата. По-горе в настоящия доклад беше отбелязано, че на територията </w:t>
      </w:r>
      <w:r w:rsidR="001F2328">
        <w:t>н</w:t>
      </w:r>
      <w:r w:rsidR="00263BC7">
        <w:t>а общината вече работят 14 малки ФЕЦ.</w:t>
      </w:r>
    </w:p>
    <w:p w:rsidR="00263BC7" w:rsidRPr="00FC7ED8" w:rsidRDefault="00263BC7" w:rsidP="00FC7ED8">
      <w:pPr>
        <w:tabs>
          <w:tab w:val="left" w:pos="851"/>
        </w:tabs>
        <w:ind w:firstLine="709"/>
        <w:contextualSpacing/>
        <w:jc w:val="both"/>
        <w:rPr>
          <w:rFonts w:eastAsia="Calibri"/>
          <w:lang w:eastAsia="en-US"/>
        </w:rPr>
      </w:pPr>
    </w:p>
    <w:p w:rsidR="00FC7ED8" w:rsidRPr="00FC7ED8" w:rsidRDefault="00FC7ED8" w:rsidP="00FC7ED8">
      <w:pPr>
        <w:tabs>
          <w:tab w:val="left" w:pos="851"/>
        </w:tabs>
        <w:ind w:firstLine="709"/>
        <w:contextualSpacing/>
        <w:jc w:val="both"/>
        <w:rPr>
          <w:rFonts w:eastAsia="Calibri"/>
          <w:b/>
          <w:i/>
          <w:lang w:eastAsia="en-US"/>
        </w:rPr>
      </w:pPr>
      <w:r w:rsidRPr="00FC7ED8">
        <w:rPr>
          <w:rFonts w:eastAsia="Calibri"/>
          <w:b/>
          <w:i/>
          <w:lang w:eastAsia="en-US"/>
        </w:rPr>
        <w:t>Мярка:</w:t>
      </w:r>
      <w:r w:rsidRPr="00FC7ED8">
        <w:rPr>
          <w:rFonts w:eastAsia="Calibri"/>
          <w:lang w:eastAsia="en-US"/>
        </w:rPr>
        <w:t xml:space="preserve"> </w:t>
      </w:r>
      <w:r w:rsidRPr="00FC7ED8">
        <w:rPr>
          <w:rFonts w:eastAsia="Calibri"/>
          <w:b/>
          <w:i/>
          <w:lang w:eastAsia="en-US"/>
        </w:rPr>
        <w:t>Съхраняване, опазване и експониране на природното наследство, извън зоните по Натура 2000 и защитените територии</w:t>
      </w:r>
    </w:p>
    <w:p w:rsidR="00FC7ED8" w:rsidRPr="00FC7ED8" w:rsidRDefault="00FC7ED8" w:rsidP="00FC7ED8">
      <w:pPr>
        <w:tabs>
          <w:tab w:val="left" w:pos="851"/>
        </w:tabs>
        <w:ind w:firstLine="709"/>
        <w:contextualSpacing/>
        <w:jc w:val="both"/>
        <w:rPr>
          <w:rFonts w:eastAsia="Calibri"/>
          <w:lang w:eastAsia="en-US"/>
        </w:rPr>
      </w:pPr>
      <w:r w:rsidRPr="00FC7ED8">
        <w:rPr>
          <w:rFonts w:eastAsia="Calibri"/>
          <w:lang w:eastAsia="en-US"/>
        </w:rPr>
        <w:t>Дейности, насочени към изграждане на еко-пътеки до основните обекти на Защитените територии, защитените местности и територии от Натура 2000, осигуряване на буферни паркинги за посетители, надеждна маркировка на пешеходни пътеки, изграждане на заслони, вело-трасета. Дейности за създаване на оптимална симбиоза между мрежите на НАТУРА и тези на културно-историческото и природно наследство.</w:t>
      </w:r>
    </w:p>
    <w:p w:rsidR="00FC7ED8" w:rsidRPr="00FC7ED8" w:rsidRDefault="00FC7ED8" w:rsidP="001F2328">
      <w:pPr>
        <w:tabs>
          <w:tab w:val="left" w:pos="851"/>
        </w:tabs>
        <w:ind w:firstLine="709"/>
        <w:contextualSpacing/>
        <w:jc w:val="both"/>
        <w:rPr>
          <w:rFonts w:eastAsia="Calibri"/>
          <w:lang w:eastAsia="en-US"/>
        </w:rPr>
      </w:pPr>
      <w:r w:rsidRPr="00FC7ED8">
        <w:rPr>
          <w:rFonts w:eastAsia="Calibri"/>
          <w:lang w:eastAsia="en-US"/>
        </w:rPr>
        <w:t>Потенциалните източници на финансиране включват ПОС 2021-2027 г., републиканския бюджет и национални фондове.</w:t>
      </w:r>
    </w:p>
    <w:p w:rsidR="00AF37ED" w:rsidRPr="00AF37ED" w:rsidRDefault="00AF37ED" w:rsidP="00AF37ED">
      <w:pPr>
        <w:widowControl w:val="0"/>
        <w:tabs>
          <w:tab w:val="left" w:pos="851"/>
          <w:tab w:val="left" w:pos="8080"/>
        </w:tabs>
        <w:autoSpaceDE w:val="0"/>
        <w:autoSpaceDN w:val="0"/>
        <w:ind w:firstLine="709"/>
        <w:jc w:val="both"/>
        <w:rPr>
          <w:b/>
        </w:rPr>
      </w:pPr>
      <w:r w:rsidRPr="00AF37ED">
        <w:rPr>
          <w:b/>
        </w:rPr>
        <w:t>Приоритет 4. Добро управление за всеки жител за Община Кайнарджа</w:t>
      </w:r>
    </w:p>
    <w:p w:rsidR="00AF37ED" w:rsidRPr="00AF37ED" w:rsidRDefault="00AF37ED" w:rsidP="00AF37ED">
      <w:pPr>
        <w:tabs>
          <w:tab w:val="left" w:pos="851"/>
        </w:tabs>
        <w:ind w:firstLine="709"/>
        <w:contextualSpacing/>
        <w:rPr>
          <w:rFonts w:eastAsia="Calibri"/>
          <w:lang w:eastAsia="en-US"/>
        </w:rPr>
      </w:pPr>
      <w:r w:rsidRPr="00AF37ED">
        <w:rPr>
          <w:rFonts w:eastAsia="Calibri"/>
          <w:b/>
          <w:i/>
          <w:lang w:eastAsia="en-US"/>
        </w:rPr>
        <w:t>Мярка:</w:t>
      </w:r>
      <w:r w:rsidRPr="00AF37ED">
        <w:rPr>
          <w:rFonts w:eastAsia="Calibri"/>
          <w:lang w:eastAsia="en-US"/>
        </w:rPr>
        <w:t xml:space="preserve"> </w:t>
      </w:r>
      <w:r w:rsidRPr="00AF37ED">
        <w:rPr>
          <w:rFonts w:eastAsia="Calibri"/>
          <w:b/>
          <w:i/>
          <w:lang w:eastAsia="en-US"/>
        </w:rPr>
        <w:t>Управление в подкрепа на развитието</w:t>
      </w:r>
    </w:p>
    <w:p w:rsidR="00AF37ED" w:rsidRPr="00AF37ED" w:rsidRDefault="00AF37ED" w:rsidP="00AF37ED">
      <w:pPr>
        <w:tabs>
          <w:tab w:val="left" w:pos="851"/>
        </w:tabs>
        <w:ind w:firstLine="709"/>
        <w:contextualSpacing/>
        <w:jc w:val="both"/>
        <w:rPr>
          <w:rFonts w:eastAsia="Calibri"/>
          <w:lang w:eastAsia="en-US"/>
        </w:rPr>
      </w:pPr>
      <w:r w:rsidRPr="00AF37ED">
        <w:rPr>
          <w:rFonts w:eastAsia="Calibri"/>
          <w:lang w:eastAsia="en-US"/>
        </w:rPr>
        <w:t>Ефективната работа на публичните институции в значителна степен допринася за създаване на подкрепяща среда за развитие на икономиката, социални</w:t>
      </w:r>
      <w:r w:rsidR="001F2328">
        <w:rPr>
          <w:rFonts w:eastAsia="Calibri"/>
          <w:lang w:eastAsia="en-US"/>
        </w:rPr>
        <w:t>я</w:t>
      </w:r>
      <w:r w:rsidRPr="00AF37ED">
        <w:rPr>
          <w:rFonts w:eastAsia="Calibri"/>
          <w:lang w:eastAsia="en-US"/>
        </w:rPr>
        <w:t xml:space="preserve"> капитал и подобряване параметрите на околната среда. След два седемгодишни периода на осъществяване на значими инициативи за развитие капацитета на администрацията, в следващите години, фокусът е поставен върху цифровизация на базите данни и процесите и въвеждане на ИКТ-базирани решения за управление и подкрепа на развитието.</w:t>
      </w:r>
    </w:p>
    <w:p w:rsidR="00AF37ED" w:rsidRPr="00AF37ED" w:rsidRDefault="00AF37ED" w:rsidP="00AF37ED">
      <w:pPr>
        <w:tabs>
          <w:tab w:val="left" w:pos="851"/>
        </w:tabs>
        <w:ind w:firstLine="709"/>
        <w:contextualSpacing/>
        <w:jc w:val="both"/>
        <w:rPr>
          <w:rFonts w:eastAsia="Calibri"/>
          <w:lang w:eastAsia="en-US"/>
        </w:rPr>
      </w:pPr>
      <w:r w:rsidRPr="00AF37ED">
        <w:rPr>
          <w:rFonts w:eastAsia="Calibri"/>
          <w:lang w:eastAsia="en-US"/>
        </w:rPr>
        <w:t>От ключово значение в тази ситуация е община Кайнарджа да засили своя административен капацитет, особено по отношение на подготовка на проектни идеи разработване на проекти, и осигуряване на необходимите данни, устройствени предпоставки и решения, свързани с кандидатстване за финансиране по различните оперативни програми и финансови инструменти.</w:t>
      </w:r>
    </w:p>
    <w:p w:rsidR="00AF37ED" w:rsidRPr="00AF37ED" w:rsidRDefault="00AF37ED" w:rsidP="00AF37ED">
      <w:pPr>
        <w:tabs>
          <w:tab w:val="left" w:pos="851"/>
        </w:tabs>
        <w:ind w:firstLine="709"/>
        <w:contextualSpacing/>
        <w:jc w:val="both"/>
        <w:rPr>
          <w:rFonts w:eastAsia="Calibri"/>
          <w:lang w:eastAsia="en-US"/>
        </w:rPr>
      </w:pPr>
      <w:r w:rsidRPr="00AF37ED">
        <w:rPr>
          <w:rFonts w:eastAsia="Calibri"/>
          <w:lang w:eastAsia="en-US"/>
        </w:rPr>
        <w:t>Кризата, свързана с COVID-19, подчерта стратегическото значение на ефективната публична администрация и на доброто функциониране на цифровото управление, включително електронното здравеопазване, достъпът до електронни административни услуги и електронния обмен между администрациите. В допълнение намаляването на административната тежест ще подобри бизнес средата и ще насърчи инвестициите, което ще окаже положително въздействие върху темпа на възстановяването на регионалната и местната икономика.</w:t>
      </w:r>
    </w:p>
    <w:p w:rsidR="00AF37ED" w:rsidRDefault="001F2328" w:rsidP="00AF37ED">
      <w:pPr>
        <w:tabs>
          <w:tab w:val="left" w:pos="851"/>
        </w:tabs>
        <w:ind w:firstLine="709"/>
        <w:contextualSpacing/>
        <w:jc w:val="both"/>
        <w:rPr>
          <w:rFonts w:eastAsia="Calibri"/>
          <w:lang w:eastAsia="en-US"/>
        </w:rPr>
      </w:pPr>
      <w:r>
        <w:rPr>
          <w:rFonts w:eastAsia="Calibri"/>
          <w:lang w:eastAsia="en-US"/>
        </w:rPr>
        <w:t>Дейности: З</w:t>
      </w:r>
      <w:r w:rsidR="00AF37ED" w:rsidRPr="00AF37ED">
        <w:rPr>
          <w:rFonts w:eastAsia="Calibri"/>
          <w:lang w:eastAsia="en-US"/>
        </w:rPr>
        <w:t>а повишаване капацитета на общинската администрация и подобряване на професионална</w:t>
      </w:r>
      <w:r>
        <w:rPr>
          <w:rFonts w:eastAsia="Calibri"/>
          <w:lang w:eastAsia="en-US"/>
        </w:rPr>
        <w:t>та компетентност на служителите се организират</w:t>
      </w:r>
      <w:r w:rsidR="00AF37ED" w:rsidRPr="00AF37ED">
        <w:rPr>
          <w:rFonts w:eastAsia="Calibri"/>
          <w:lang w:eastAsia="en-US"/>
        </w:rPr>
        <w:t xml:space="preserve"> обучения, семинари, конференции, пътувания с учебна цел</w:t>
      </w:r>
      <w:r>
        <w:rPr>
          <w:rFonts w:eastAsia="Calibri"/>
          <w:lang w:eastAsia="en-US"/>
        </w:rPr>
        <w:t>, в които се обучава целия екип на общинската администрация или се насочват конкретни експерти.</w:t>
      </w:r>
      <w:r w:rsidR="00AF37ED" w:rsidRPr="00AF37ED">
        <w:rPr>
          <w:rFonts w:eastAsia="Calibri"/>
          <w:lang w:eastAsia="en-US"/>
        </w:rPr>
        <w:t xml:space="preserve"> </w:t>
      </w:r>
    </w:p>
    <w:p w:rsidR="00587A89" w:rsidRDefault="00587A89" w:rsidP="00AF37ED">
      <w:pPr>
        <w:tabs>
          <w:tab w:val="left" w:pos="851"/>
        </w:tabs>
        <w:ind w:firstLine="709"/>
        <w:contextualSpacing/>
        <w:jc w:val="both"/>
        <w:rPr>
          <w:rFonts w:eastAsia="Calibri"/>
          <w:lang w:eastAsia="en-US"/>
        </w:rPr>
      </w:pPr>
      <w:r>
        <w:rPr>
          <w:rFonts w:eastAsia="Calibri"/>
          <w:lang w:eastAsia="en-US"/>
        </w:rPr>
        <w:t>Във връзка с подобряване на условията , при които работят хората от общинска администрация и всички второстепенни разпоредители са закупени множество компютри, интерактивни дисплеи за образованието , програмни продукти, лаптопи и други.</w:t>
      </w:r>
      <w:r w:rsidR="00E4175D">
        <w:rPr>
          <w:rFonts w:eastAsia="Calibri"/>
          <w:lang w:eastAsia="en-US"/>
        </w:rPr>
        <w:t xml:space="preserve"> </w:t>
      </w:r>
    </w:p>
    <w:p w:rsidR="00E4175D" w:rsidRPr="00AF37ED" w:rsidRDefault="00E4175D" w:rsidP="00AF37ED">
      <w:pPr>
        <w:tabs>
          <w:tab w:val="left" w:pos="851"/>
        </w:tabs>
        <w:ind w:firstLine="709"/>
        <w:contextualSpacing/>
        <w:jc w:val="both"/>
        <w:rPr>
          <w:rFonts w:eastAsia="Calibri"/>
          <w:lang w:eastAsia="en-US"/>
        </w:rPr>
      </w:pPr>
      <w:r>
        <w:rPr>
          <w:rFonts w:eastAsia="Calibri"/>
          <w:lang w:eastAsia="en-US"/>
        </w:rPr>
        <w:t>Работи се по разширяване на Центъра за административно обслужване за удобство на гражданите, които посещеват общинска администрация, така и за служителите, работещи в този център.</w:t>
      </w:r>
    </w:p>
    <w:p w:rsidR="00AF37ED" w:rsidRPr="00AF37ED" w:rsidRDefault="00AF37ED" w:rsidP="00AF37ED">
      <w:pPr>
        <w:tabs>
          <w:tab w:val="left" w:pos="851"/>
        </w:tabs>
        <w:ind w:firstLine="709"/>
        <w:contextualSpacing/>
        <w:jc w:val="both"/>
        <w:rPr>
          <w:rFonts w:eastAsia="Calibri"/>
          <w:b/>
          <w:i/>
          <w:lang w:eastAsia="en-US"/>
        </w:rPr>
      </w:pPr>
      <w:r w:rsidRPr="00AF37ED">
        <w:rPr>
          <w:rFonts w:eastAsia="Calibri"/>
          <w:b/>
          <w:i/>
          <w:lang w:eastAsia="en-US"/>
        </w:rPr>
        <w:t>Мярка:</w:t>
      </w:r>
      <w:r w:rsidRPr="00AF37ED">
        <w:rPr>
          <w:rFonts w:eastAsia="Calibri"/>
          <w:lang w:eastAsia="en-US"/>
        </w:rPr>
        <w:t xml:space="preserve"> </w:t>
      </w:r>
      <w:r w:rsidRPr="00AF37ED">
        <w:rPr>
          <w:rFonts w:eastAsia="Calibri"/>
          <w:b/>
          <w:i/>
          <w:lang w:eastAsia="en-US"/>
        </w:rPr>
        <w:t>Обмен на добри практики с общини за разширяване на междуобщинското сътрудничество</w:t>
      </w:r>
    </w:p>
    <w:p w:rsidR="00AF37ED" w:rsidRDefault="00AF37ED" w:rsidP="00AF37ED">
      <w:pPr>
        <w:tabs>
          <w:tab w:val="left" w:pos="851"/>
        </w:tabs>
        <w:ind w:firstLine="709"/>
        <w:contextualSpacing/>
        <w:jc w:val="both"/>
        <w:rPr>
          <w:rFonts w:eastAsia="Calibri"/>
          <w:lang w:eastAsia="en-US"/>
        </w:rPr>
      </w:pPr>
      <w:r w:rsidRPr="00AF37ED">
        <w:rPr>
          <w:rFonts w:eastAsia="Calibri"/>
          <w:lang w:eastAsia="en-US"/>
        </w:rPr>
        <w:lastRenderedPageBreak/>
        <w:t>Мярката адресира дейности за повишаване капацитета на общинската администрация в помощ на бизнеса и гражданите, на база опита на съседни общини и внедряване на добри практики, вече изпитани при тях, изграждане на междуобщински и международни сътрудничества и партньорства за решаване на общи проблеми и обмен на добри практики и знания с различни организации и други страни за развитие на мобилни административни услуги, услуги от друго естество, косвено свързани с администрацията, развитие на иновативни младежки дейности, организиране на съвместни панаири и културни празници и развитие на съвместни туристически продукти и атракции.</w:t>
      </w:r>
    </w:p>
    <w:p w:rsidR="00AF37ED" w:rsidRDefault="0068283A" w:rsidP="008D01C9">
      <w:pPr>
        <w:tabs>
          <w:tab w:val="left" w:pos="851"/>
        </w:tabs>
        <w:ind w:firstLine="709"/>
        <w:contextualSpacing/>
        <w:jc w:val="both"/>
        <w:rPr>
          <w:rFonts w:eastAsia="Calibri"/>
          <w:b/>
          <w:lang w:eastAsia="en-US"/>
        </w:rPr>
      </w:pPr>
      <w:r>
        <w:rPr>
          <w:rFonts w:eastAsia="Calibri"/>
          <w:lang w:eastAsia="en-US"/>
        </w:rPr>
        <w:t>Дейности</w:t>
      </w:r>
      <w:r w:rsidR="00F914A4">
        <w:rPr>
          <w:rFonts w:eastAsia="Calibri"/>
          <w:lang w:eastAsia="en-US"/>
        </w:rPr>
        <w:t>: От страна на  общинска администрация Кайнарджа през изминалата 2023 година няма осъществени посещения в други общини, но пък се осъществи домакинство на прекрасен проект за международен обмен между представители на общини и образователни институции от 8 различни европейски държави.</w:t>
      </w:r>
      <w:r w:rsidR="00B16B87">
        <w:rPr>
          <w:rFonts w:eastAsia="Calibri"/>
          <w:lang w:eastAsia="en-US"/>
        </w:rPr>
        <w:t xml:space="preserve"> Проектът премина в добра атмосфера и се осъществиха интересни идеи, посветени предимно на темата „Опазване на мира”</w:t>
      </w:r>
      <w:r w:rsidR="00F66597">
        <w:rPr>
          <w:rFonts w:eastAsia="Calibri"/>
          <w:lang w:eastAsia="en-US"/>
        </w:rPr>
        <w:t>.</w:t>
      </w:r>
      <w:r w:rsidR="00E4175D">
        <w:rPr>
          <w:rFonts w:eastAsia="Calibri"/>
          <w:lang w:eastAsia="en-US"/>
        </w:rPr>
        <w:t xml:space="preserve"> </w:t>
      </w:r>
      <w:r w:rsidR="00E4175D" w:rsidRPr="00E4175D">
        <w:rPr>
          <w:rFonts w:eastAsia="Calibri"/>
          <w:b/>
          <w:lang w:eastAsia="en-US"/>
        </w:rPr>
        <w:t>Проектът се осъществява с финансовата подкрепа на програма Еразъм+ и се реализира от водещия партньор – Асоциация „Европейска мрежа МЕСТА НА МИРА“</w:t>
      </w:r>
    </w:p>
    <w:p w:rsidR="00E4175D" w:rsidRPr="00E4175D" w:rsidRDefault="00E4175D" w:rsidP="008D01C9">
      <w:pPr>
        <w:tabs>
          <w:tab w:val="left" w:pos="851"/>
        </w:tabs>
        <w:ind w:firstLine="709"/>
        <w:contextualSpacing/>
        <w:jc w:val="both"/>
        <w:rPr>
          <w:rFonts w:eastAsia="Calibri"/>
          <w:lang w:eastAsia="en-US"/>
        </w:rPr>
      </w:pPr>
      <w:r>
        <w:rPr>
          <w:rFonts w:eastAsia="Calibri"/>
          <w:lang w:eastAsia="en-US"/>
        </w:rPr>
        <w:t>Наблюдението на Плана за интегрирано развитие на община Кайнарджа 2021 – 2027 ще продължи и през 2024 година, като предстои подготовката на междинната оценка за изпълнението му.</w:t>
      </w:r>
      <w:bookmarkStart w:id="0" w:name="_GoBack"/>
      <w:bookmarkEnd w:id="0"/>
    </w:p>
    <w:p w:rsidR="00AF37ED" w:rsidRPr="00AF37ED" w:rsidRDefault="00AF37ED" w:rsidP="00AF37ED">
      <w:pPr>
        <w:jc w:val="both"/>
        <w:rPr>
          <w:sz w:val="28"/>
          <w:szCs w:val="28"/>
          <w:lang w:val="uk-UA" w:eastAsia="de-DE"/>
        </w:rPr>
      </w:pPr>
    </w:p>
    <w:p w:rsidR="00291F4E" w:rsidRPr="00291F4E" w:rsidRDefault="00291F4E" w:rsidP="00291F4E">
      <w:pPr>
        <w:spacing w:after="160" w:line="259" w:lineRule="auto"/>
        <w:rPr>
          <w:rFonts w:asciiTheme="minorHAnsi" w:eastAsiaTheme="minorHAnsi" w:hAnsiTheme="minorHAnsi" w:cstheme="minorBidi"/>
          <w:sz w:val="32"/>
          <w:szCs w:val="32"/>
          <w:lang w:eastAsia="en-US"/>
        </w:rPr>
      </w:pPr>
    </w:p>
    <w:p w:rsidR="00291F4E" w:rsidRPr="00291F4E" w:rsidRDefault="00291F4E" w:rsidP="00291F4E">
      <w:pPr>
        <w:spacing w:after="160" w:line="259" w:lineRule="auto"/>
        <w:rPr>
          <w:rFonts w:asciiTheme="minorHAnsi" w:eastAsiaTheme="minorHAnsi" w:hAnsiTheme="minorHAnsi" w:cstheme="minorBidi"/>
          <w:sz w:val="32"/>
          <w:szCs w:val="32"/>
          <w:lang w:eastAsia="en-US"/>
        </w:rPr>
      </w:pPr>
    </w:p>
    <w:p w:rsidR="00291F4E" w:rsidRPr="00291F4E" w:rsidRDefault="00291F4E" w:rsidP="00291F4E">
      <w:pPr>
        <w:tabs>
          <w:tab w:val="left" w:pos="851"/>
        </w:tabs>
        <w:ind w:firstLine="709"/>
        <w:jc w:val="both"/>
        <w:rPr>
          <w:color w:val="000000"/>
        </w:rPr>
      </w:pPr>
    </w:p>
    <w:p w:rsidR="008D04AC" w:rsidRDefault="008D04AC"/>
    <w:sectPr w:rsidR="008D04AC" w:rsidSect="00E454EE">
      <w:headerReference w:type="even" r:id="rId9"/>
      <w:headerReference w:type="default" r:id="rId10"/>
      <w:footerReference w:type="even"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034" w:rsidRDefault="00274034" w:rsidP="00E454EE">
      <w:r>
        <w:separator/>
      </w:r>
    </w:p>
  </w:endnote>
  <w:endnote w:type="continuationSeparator" w:id="0">
    <w:p w:rsidR="00274034" w:rsidRDefault="00274034" w:rsidP="00E4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8DD" w:rsidRDefault="004B35D9">
    <w:pPr>
      <w:ind w:left="47"/>
      <w:jc w:val="center"/>
    </w:pPr>
    <w:r>
      <w:rPr>
        <w:rFonts w:ascii="Calibri" w:eastAsia="Calibri" w:hAnsi="Calibri" w:cs="Calibri"/>
      </w:rPr>
      <w:t xml:space="preserve"> </w:t>
    </w:r>
  </w:p>
  <w:p w:rsidR="00BB28DD" w:rsidRDefault="004B35D9">
    <w:r>
      <w:rPr>
        <w:rFonts w:ascii="Cambria" w:eastAsia="Cambria" w:hAnsi="Cambria" w:cs="Cambria"/>
        <w:i/>
      </w:rPr>
      <w:t>Journal of Contemporary Issues in Business and Government</w:t>
    </w:r>
    <w:r>
      <w:rPr>
        <w:rFonts w:ascii="Cambria" w:eastAsia="Cambria" w:hAnsi="Cambria" w:cs="Cambria"/>
      </w:rPr>
      <w:t xml:space="preserve"> | Vol 27, Issue 2, 2021                                    </w:t>
    </w:r>
    <w:r w:rsidR="00E454EE">
      <w:rPr>
        <w:rFonts w:ascii="Calibri" w:eastAsia="Calibri" w:hAnsi="Calibri"/>
      </w:rPr>
      <w:fldChar w:fldCharType="begin"/>
    </w:r>
    <w:r>
      <w:instrText xml:space="preserve"> PAGE   \* MERGEFORMAT </w:instrText>
    </w:r>
    <w:r w:rsidR="00E454EE">
      <w:rPr>
        <w:rFonts w:ascii="Calibri" w:eastAsia="Calibri" w:hAnsi="Calibri"/>
      </w:rPr>
      <w:fldChar w:fldCharType="separate"/>
    </w:r>
    <w:r>
      <w:rPr>
        <w:rFonts w:ascii="Cambria" w:eastAsia="Cambria" w:hAnsi="Cambria" w:cs="Cambria"/>
      </w:rPr>
      <w:t>4064</w:t>
    </w:r>
    <w:r w:rsidR="00E454EE">
      <w:rPr>
        <w:rFonts w:ascii="Cambria" w:eastAsia="Cambria" w:hAnsi="Cambria" w:cs="Cambria"/>
      </w:rPr>
      <w:fldChar w:fldCharType="end"/>
    </w: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034" w:rsidRDefault="00274034" w:rsidP="00E454EE">
      <w:r>
        <w:separator/>
      </w:r>
    </w:p>
  </w:footnote>
  <w:footnote w:type="continuationSeparator" w:id="0">
    <w:p w:rsidR="00274034" w:rsidRDefault="00274034" w:rsidP="00E45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8DD" w:rsidRDefault="004B35D9">
    <w:pPr>
      <w:spacing w:line="237" w:lineRule="auto"/>
      <w:jc w:val="center"/>
    </w:pPr>
    <w:r>
      <w:rPr>
        <w:rFonts w:ascii="Calibri" w:eastAsia="Calibri" w:hAnsi="Calibri" w:cs="Calibri"/>
      </w:rPr>
      <w:t xml:space="preserve">Sayyora Nasimovna Khamraeva et al / Methodological bases for assessing the level of innovative development of agriculture and its service infrastructure activities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8DD" w:rsidRDefault="00E454EE" w:rsidP="00D11CAD">
    <w:pPr>
      <w:pStyle w:val="a3"/>
      <w:jc w:val="right"/>
    </w:pPr>
    <w:r>
      <w:fldChar w:fldCharType="begin"/>
    </w:r>
    <w:r w:rsidR="004B35D9">
      <w:instrText>PAGE   \* MERGEFORMAT</w:instrText>
    </w:r>
    <w:r>
      <w:fldChar w:fldCharType="separate"/>
    </w:r>
    <w:r w:rsidR="00E4175D" w:rsidRPr="00E4175D">
      <w:rPr>
        <w:noProof/>
        <w:lang w:val="ru-RU"/>
      </w:rPr>
      <w:t>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51FF"/>
      </v:shape>
    </w:pict>
  </w:numPicBullet>
  <w:abstractNum w:abstractNumId="0" w15:restartNumberingAfterBreak="0">
    <w:nsid w:val="02564EA0"/>
    <w:multiLevelType w:val="hybridMultilevel"/>
    <w:tmpl w:val="5818103E"/>
    <w:lvl w:ilvl="0" w:tplc="9D58BA7A">
      <w:start w:val="1"/>
      <w:numFmt w:val="bullet"/>
      <w:lvlText w:val=""/>
      <w:lvlJc w:val="left"/>
      <w:pPr>
        <w:ind w:left="720" w:hanging="360"/>
      </w:pPr>
      <w:rPr>
        <w:rFonts w:ascii="Symbol" w:hAnsi="Symbol" w:hint="default"/>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3686510"/>
    <w:multiLevelType w:val="hybridMultilevel"/>
    <w:tmpl w:val="00F4F8E2"/>
    <w:lvl w:ilvl="0" w:tplc="635C3714">
      <w:start w:val="1"/>
      <w:numFmt w:val="decimal"/>
      <w:lvlText w:val="%1."/>
      <w:lvlJc w:val="left"/>
      <w:pPr>
        <w:ind w:left="643" w:hanging="360"/>
      </w:pPr>
      <w:rPr>
        <w:b w:val="0"/>
        <w:color w:val="auto"/>
        <w:sz w:val="28"/>
        <w:szCs w:val="28"/>
      </w:rPr>
    </w:lvl>
    <w:lvl w:ilvl="1" w:tplc="5F2A2D24">
      <w:numFmt w:val="bullet"/>
      <w:lvlText w:val="–"/>
      <w:lvlJc w:val="left"/>
      <w:pPr>
        <w:ind w:left="1298" w:hanging="360"/>
      </w:pPr>
      <w:rPr>
        <w:rFonts w:ascii="Calibri" w:eastAsia="Times New Roman" w:hAnsi="Calibri" w:cstheme="minorHAnsi" w:hint="default"/>
      </w:rPr>
    </w:lvl>
    <w:lvl w:ilvl="2" w:tplc="0402001B" w:tentative="1">
      <w:start w:val="1"/>
      <w:numFmt w:val="lowerRoman"/>
      <w:lvlText w:val="%3."/>
      <w:lvlJc w:val="right"/>
      <w:pPr>
        <w:ind w:left="2018" w:hanging="180"/>
      </w:pPr>
    </w:lvl>
    <w:lvl w:ilvl="3" w:tplc="0402000F" w:tentative="1">
      <w:start w:val="1"/>
      <w:numFmt w:val="decimal"/>
      <w:lvlText w:val="%4."/>
      <w:lvlJc w:val="left"/>
      <w:pPr>
        <w:ind w:left="2738" w:hanging="360"/>
      </w:pPr>
    </w:lvl>
    <w:lvl w:ilvl="4" w:tplc="04020019" w:tentative="1">
      <w:start w:val="1"/>
      <w:numFmt w:val="lowerLetter"/>
      <w:lvlText w:val="%5."/>
      <w:lvlJc w:val="left"/>
      <w:pPr>
        <w:ind w:left="3458" w:hanging="360"/>
      </w:pPr>
    </w:lvl>
    <w:lvl w:ilvl="5" w:tplc="0402001B" w:tentative="1">
      <w:start w:val="1"/>
      <w:numFmt w:val="lowerRoman"/>
      <w:lvlText w:val="%6."/>
      <w:lvlJc w:val="right"/>
      <w:pPr>
        <w:ind w:left="4178" w:hanging="180"/>
      </w:pPr>
    </w:lvl>
    <w:lvl w:ilvl="6" w:tplc="0402000F" w:tentative="1">
      <w:start w:val="1"/>
      <w:numFmt w:val="decimal"/>
      <w:lvlText w:val="%7."/>
      <w:lvlJc w:val="left"/>
      <w:pPr>
        <w:ind w:left="4898" w:hanging="360"/>
      </w:pPr>
    </w:lvl>
    <w:lvl w:ilvl="7" w:tplc="04020019" w:tentative="1">
      <w:start w:val="1"/>
      <w:numFmt w:val="lowerLetter"/>
      <w:lvlText w:val="%8."/>
      <w:lvlJc w:val="left"/>
      <w:pPr>
        <w:ind w:left="5618" w:hanging="360"/>
      </w:pPr>
    </w:lvl>
    <w:lvl w:ilvl="8" w:tplc="0402001B" w:tentative="1">
      <w:start w:val="1"/>
      <w:numFmt w:val="lowerRoman"/>
      <w:lvlText w:val="%9."/>
      <w:lvlJc w:val="right"/>
      <w:pPr>
        <w:ind w:left="6338" w:hanging="180"/>
      </w:pPr>
    </w:lvl>
  </w:abstractNum>
  <w:abstractNum w:abstractNumId="2" w15:restartNumberingAfterBreak="0">
    <w:nsid w:val="58C65A98"/>
    <w:multiLevelType w:val="hybridMultilevel"/>
    <w:tmpl w:val="3DC0591A"/>
    <w:lvl w:ilvl="0" w:tplc="0402000D">
      <w:start w:val="1"/>
      <w:numFmt w:val="bullet"/>
      <w:lvlText w:val=""/>
      <w:lvlJc w:val="left"/>
      <w:pPr>
        <w:ind w:left="1222" w:hanging="360"/>
      </w:pPr>
      <w:rPr>
        <w:rFonts w:ascii="Wingdings" w:hAnsi="Wingdings" w:hint="default"/>
      </w:rPr>
    </w:lvl>
    <w:lvl w:ilvl="1" w:tplc="04020003" w:tentative="1">
      <w:start w:val="1"/>
      <w:numFmt w:val="bullet"/>
      <w:lvlText w:val="o"/>
      <w:lvlJc w:val="left"/>
      <w:pPr>
        <w:ind w:left="1942" w:hanging="360"/>
      </w:pPr>
      <w:rPr>
        <w:rFonts w:ascii="Courier New" w:hAnsi="Courier New" w:cs="Courier New" w:hint="default"/>
      </w:rPr>
    </w:lvl>
    <w:lvl w:ilvl="2" w:tplc="04020005" w:tentative="1">
      <w:start w:val="1"/>
      <w:numFmt w:val="bullet"/>
      <w:lvlText w:val=""/>
      <w:lvlJc w:val="left"/>
      <w:pPr>
        <w:ind w:left="2662" w:hanging="360"/>
      </w:pPr>
      <w:rPr>
        <w:rFonts w:ascii="Wingdings" w:hAnsi="Wingdings" w:hint="default"/>
      </w:rPr>
    </w:lvl>
    <w:lvl w:ilvl="3" w:tplc="04020001" w:tentative="1">
      <w:start w:val="1"/>
      <w:numFmt w:val="bullet"/>
      <w:lvlText w:val=""/>
      <w:lvlJc w:val="left"/>
      <w:pPr>
        <w:ind w:left="3382" w:hanging="360"/>
      </w:pPr>
      <w:rPr>
        <w:rFonts w:ascii="Symbol" w:hAnsi="Symbol" w:hint="default"/>
      </w:rPr>
    </w:lvl>
    <w:lvl w:ilvl="4" w:tplc="04020003" w:tentative="1">
      <w:start w:val="1"/>
      <w:numFmt w:val="bullet"/>
      <w:lvlText w:val="o"/>
      <w:lvlJc w:val="left"/>
      <w:pPr>
        <w:ind w:left="4102" w:hanging="360"/>
      </w:pPr>
      <w:rPr>
        <w:rFonts w:ascii="Courier New" w:hAnsi="Courier New" w:cs="Courier New" w:hint="default"/>
      </w:rPr>
    </w:lvl>
    <w:lvl w:ilvl="5" w:tplc="04020005" w:tentative="1">
      <w:start w:val="1"/>
      <w:numFmt w:val="bullet"/>
      <w:lvlText w:val=""/>
      <w:lvlJc w:val="left"/>
      <w:pPr>
        <w:ind w:left="4822" w:hanging="360"/>
      </w:pPr>
      <w:rPr>
        <w:rFonts w:ascii="Wingdings" w:hAnsi="Wingdings" w:hint="default"/>
      </w:rPr>
    </w:lvl>
    <w:lvl w:ilvl="6" w:tplc="04020001" w:tentative="1">
      <w:start w:val="1"/>
      <w:numFmt w:val="bullet"/>
      <w:lvlText w:val=""/>
      <w:lvlJc w:val="left"/>
      <w:pPr>
        <w:ind w:left="5542" w:hanging="360"/>
      </w:pPr>
      <w:rPr>
        <w:rFonts w:ascii="Symbol" w:hAnsi="Symbol" w:hint="default"/>
      </w:rPr>
    </w:lvl>
    <w:lvl w:ilvl="7" w:tplc="04020003" w:tentative="1">
      <w:start w:val="1"/>
      <w:numFmt w:val="bullet"/>
      <w:lvlText w:val="o"/>
      <w:lvlJc w:val="left"/>
      <w:pPr>
        <w:ind w:left="6262" w:hanging="360"/>
      </w:pPr>
      <w:rPr>
        <w:rFonts w:ascii="Courier New" w:hAnsi="Courier New" w:cs="Courier New" w:hint="default"/>
      </w:rPr>
    </w:lvl>
    <w:lvl w:ilvl="8" w:tplc="04020005" w:tentative="1">
      <w:start w:val="1"/>
      <w:numFmt w:val="bullet"/>
      <w:lvlText w:val=""/>
      <w:lvlJc w:val="left"/>
      <w:pPr>
        <w:ind w:left="6982" w:hanging="360"/>
      </w:pPr>
      <w:rPr>
        <w:rFonts w:ascii="Wingdings" w:hAnsi="Wingdings" w:hint="default"/>
      </w:rPr>
    </w:lvl>
  </w:abstractNum>
  <w:abstractNum w:abstractNumId="3" w15:restartNumberingAfterBreak="0">
    <w:nsid w:val="70D31691"/>
    <w:multiLevelType w:val="hybridMultilevel"/>
    <w:tmpl w:val="2AC6689A"/>
    <w:lvl w:ilvl="0" w:tplc="7C44B42A">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765C7D41"/>
    <w:multiLevelType w:val="hybridMultilevel"/>
    <w:tmpl w:val="768AE5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78726EC8"/>
    <w:multiLevelType w:val="hybridMultilevel"/>
    <w:tmpl w:val="942A99CC"/>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B1809"/>
    <w:rsid w:val="000016C9"/>
    <w:rsid w:val="000221C6"/>
    <w:rsid w:val="000263A4"/>
    <w:rsid w:val="000862EF"/>
    <w:rsid w:val="000F6595"/>
    <w:rsid w:val="00120661"/>
    <w:rsid w:val="001460B9"/>
    <w:rsid w:val="001F089C"/>
    <w:rsid w:val="001F2328"/>
    <w:rsid w:val="002056A7"/>
    <w:rsid w:val="00263BC7"/>
    <w:rsid w:val="00274034"/>
    <w:rsid w:val="00291F4E"/>
    <w:rsid w:val="002B04A8"/>
    <w:rsid w:val="002D6B69"/>
    <w:rsid w:val="003C5CE2"/>
    <w:rsid w:val="004128AA"/>
    <w:rsid w:val="004B35D9"/>
    <w:rsid w:val="004E29E3"/>
    <w:rsid w:val="00582002"/>
    <w:rsid w:val="00585258"/>
    <w:rsid w:val="00587A89"/>
    <w:rsid w:val="005F4347"/>
    <w:rsid w:val="00652936"/>
    <w:rsid w:val="0068283A"/>
    <w:rsid w:val="006A2B90"/>
    <w:rsid w:val="006F0B07"/>
    <w:rsid w:val="006F6818"/>
    <w:rsid w:val="007413D8"/>
    <w:rsid w:val="007B1809"/>
    <w:rsid w:val="007B1C2A"/>
    <w:rsid w:val="00805469"/>
    <w:rsid w:val="00817A50"/>
    <w:rsid w:val="008265A1"/>
    <w:rsid w:val="00857CA4"/>
    <w:rsid w:val="008D01C9"/>
    <w:rsid w:val="008D04AC"/>
    <w:rsid w:val="008F1CE7"/>
    <w:rsid w:val="009021EE"/>
    <w:rsid w:val="0091205F"/>
    <w:rsid w:val="009B2B4D"/>
    <w:rsid w:val="009C273E"/>
    <w:rsid w:val="009F1366"/>
    <w:rsid w:val="00A369C2"/>
    <w:rsid w:val="00A37104"/>
    <w:rsid w:val="00A665ED"/>
    <w:rsid w:val="00AA634E"/>
    <w:rsid w:val="00AF37ED"/>
    <w:rsid w:val="00B16B87"/>
    <w:rsid w:val="00B27B66"/>
    <w:rsid w:val="00B54719"/>
    <w:rsid w:val="00B70C93"/>
    <w:rsid w:val="00C06A43"/>
    <w:rsid w:val="00C23D65"/>
    <w:rsid w:val="00C626AB"/>
    <w:rsid w:val="00C92EC9"/>
    <w:rsid w:val="00C9702E"/>
    <w:rsid w:val="00CD0E82"/>
    <w:rsid w:val="00D10623"/>
    <w:rsid w:val="00D15BC5"/>
    <w:rsid w:val="00D21D0D"/>
    <w:rsid w:val="00D641E7"/>
    <w:rsid w:val="00E4175D"/>
    <w:rsid w:val="00E454EE"/>
    <w:rsid w:val="00E45EB9"/>
    <w:rsid w:val="00E903CE"/>
    <w:rsid w:val="00F0117B"/>
    <w:rsid w:val="00F2537D"/>
    <w:rsid w:val="00F66597"/>
    <w:rsid w:val="00F753D3"/>
    <w:rsid w:val="00F914A4"/>
    <w:rsid w:val="00F92CF0"/>
    <w:rsid w:val="00FC72AD"/>
    <w:rsid w:val="00FC7ED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87D8A20"/>
  <w15:docId w15:val="{03F2BADC-26EB-4655-AA27-FC8C466C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809"/>
    <w:pPr>
      <w:spacing w:after="0" w:line="240" w:lineRule="auto"/>
    </w:pPr>
    <w:rPr>
      <w:rFonts w:ascii="Times New Roman" w:eastAsia="Times New Roman" w:hAnsi="Times New Roman" w:cs="Times New Roman"/>
      <w:sz w:val="24"/>
      <w:szCs w:val="24"/>
      <w:lang w:val="bg-BG" w:eastAsia="bg-BG"/>
    </w:rPr>
  </w:style>
  <w:style w:type="paragraph" w:styleId="1">
    <w:name w:val="heading 1"/>
    <w:basedOn w:val="a"/>
    <w:next w:val="a"/>
    <w:link w:val="10"/>
    <w:qFormat/>
    <w:rsid w:val="000016C9"/>
    <w:pPr>
      <w:keepNext/>
      <w:jc w:val="center"/>
      <w:outlineLvl w:val="0"/>
    </w:pPr>
    <w:rPr>
      <w:rFonts w:ascii="Arial" w:hAnsi="Arial"/>
      <w:b/>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B1809"/>
    <w:pPr>
      <w:autoSpaceDE w:val="0"/>
      <w:autoSpaceDN w:val="0"/>
      <w:adjustRightInd w:val="0"/>
      <w:spacing w:after="0" w:line="240" w:lineRule="auto"/>
    </w:pPr>
    <w:rPr>
      <w:rFonts w:ascii="Cambria" w:eastAsia="Calibri" w:hAnsi="Cambria" w:cs="Cambria"/>
      <w:color w:val="000000"/>
      <w:sz w:val="24"/>
      <w:szCs w:val="24"/>
      <w:lang w:val="bg-BG"/>
    </w:rPr>
  </w:style>
  <w:style w:type="paragraph" w:styleId="a3">
    <w:name w:val="header"/>
    <w:basedOn w:val="a"/>
    <w:link w:val="a4"/>
    <w:uiPriority w:val="99"/>
    <w:semiHidden/>
    <w:unhideWhenUsed/>
    <w:rsid w:val="00AF37ED"/>
    <w:pPr>
      <w:tabs>
        <w:tab w:val="center" w:pos="4680"/>
        <w:tab w:val="right" w:pos="9360"/>
      </w:tabs>
    </w:pPr>
  </w:style>
  <w:style w:type="character" w:customStyle="1" w:styleId="a4">
    <w:name w:val="Горен колонтитул Знак"/>
    <w:basedOn w:val="a0"/>
    <w:link w:val="a3"/>
    <w:uiPriority w:val="99"/>
    <w:semiHidden/>
    <w:rsid w:val="00AF37ED"/>
    <w:rPr>
      <w:rFonts w:ascii="Times New Roman" w:eastAsia="Times New Roman" w:hAnsi="Times New Roman" w:cs="Times New Roman"/>
      <w:sz w:val="24"/>
      <w:szCs w:val="24"/>
      <w:lang w:val="bg-BG" w:eastAsia="bg-BG"/>
    </w:rPr>
  </w:style>
  <w:style w:type="paragraph" w:styleId="a5">
    <w:name w:val="List Paragraph"/>
    <w:basedOn w:val="a"/>
    <w:uiPriority w:val="34"/>
    <w:qFormat/>
    <w:rsid w:val="00AA634E"/>
    <w:pPr>
      <w:ind w:left="720"/>
      <w:contextualSpacing/>
    </w:pPr>
  </w:style>
  <w:style w:type="character" w:customStyle="1" w:styleId="10">
    <w:name w:val="Заглавие 1 Знак"/>
    <w:basedOn w:val="a0"/>
    <w:link w:val="1"/>
    <w:rsid w:val="000016C9"/>
    <w:rPr>
      <w:rFonts w:ascii="Arial" w:eastAsia="Times New Roman" w:hAnsi="Arial" w:cs="Times New Roman"/>
      <w:b/>
      <w:sz w:val="44"/>
      <w:szCs w:val="20"/>
      <w:lang w:val="bg-BG" w:eastAsia="bg-BG"/>
    </w:rPr>
  </w:style>
  <w:style w:type="character" w:styleId="a6">
    <w:name w:val="Strong"/>
    <w:basedOn w:val="a0"/>
    <w:uiPriority w:val="22"/>
    <w:qFormat/>
    <w:rsid w:val="000016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1072</TotalTime>
  <Pages>17</Pages>
  <Words>7028</Words>
  <Characters>40065</Characters>
  <Application>Microsoft Office Word</Application>
  <DocSecurity>0</DocSecurity>
  <Lines>333</Lines>
  <Paragraphs>93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359885921917</dc:creator>
  <cp:keywords/>
  <dc:description/>
  <cp:lastModifiedBy>Бонка С. Йорданова</cp:lastModifiedBy>
  <cp:revision>35</cp:revision>
  <dcterms:created xsi:type="dcterms:W3CDTF">2024-03-20T08:02:00Z</dcterms:created>
  <dcterms:modified xsi:type="dcterms:W3CDTF">2024-03-21T07:00:00Z</dcterms:modified>
</cp:coreProperties>
</file>